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3</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R2-2307375</w:t>
      </w:r>
    </w:p>
    <w:p>
      <w:pPr>
        <w:pStyle w:val="14"/>
        <w:spacing w:before="120"/>
        <w:ind w:left="0" w:leftChars="0" w:firstLine="0" w:firstLineChars="0"/>
        <w:jc w:val="both"/>
        <w:rPr>
          <w:rFonts w:hint="default" w:ascii="Arial" w:hAnsi="Arial" w:cs="Arial"/>
          <w:sz w:val="24"/>
          <w:szCs w:val="24"/>
        </w:rPr>
      </w:pPr>
      <w:r>
        <w:rPr>
          <w:rFonts w:hint="default" w:ascii="Arial" w:hAnsi="Arial" w:cs="Arial"/>
          <w:sz w:val="24"/>
          <w:szCs w:val="24"/>
        </w:rPr>
        <w:t>Toulouse, France, August 21 – 25, 2023</w:t>
      </w:r>
    </w:p>
    <w:p>
      <w:pPr>
        <w:pStyle w:val="14"/>
        <w:spacing w:before="120"/>
        <w:ind w:left="0" w:leftChars="0" w:firstLine="0" w:firstLineChars="0"/>
        <w:jc w:val="both"/>
        <w:rPr>
          <w:rFonts w:hint="default" w:ascii="Arial" w:hAnsi="Arial" w:cs="Arial"/>
          <w:sz w:val="24"/>
          <w:szCs w:val="24"/>
        </w:rPr>
      </w:pPr>
    </w:p>
    <w:p>
      <w:pPr>
        <w:pStyle w:val="14"/>
        <w:spacing w:before="120"/>
        <w:jc w:val="both"/>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both"/>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r>
        <w:rPr>
          <w:rFonts w:hint="eastAsia" w:ascii="Arial" w:hAnsi="Arial" w:cs="Arial"/>
          <w:b/>
          <w:bCs/>
          <w:snapToGrid w:val="0"/>
          <w:kern w:val="0"/>
          <w:sz w:val="24"/>
          <w:lang w:val="en-US" w:eastAsia="zh-CN"/>
        </w:rPr>
        <w:t>Preparation procedure for subsequent CPAC</w:t>
      </w:r>
    </w:p>
    <w:p>
      <w:pPr>
        <w:pStyle w:val="14"/>
        <w:spacing w:before="120"/>
        <w:jc w:val="both"/>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w:t>
      </w:r>
      <w:r>
        <w:rPr>
          <w:rFonts w:hint="eastAsia" w:eastAsia="宋体" w:cs="Arial"/>
          <w:b/>
          <w:bCs/>
          <w:snapToGrid w:val="0"/>
          <w:kern w:val="0"/>
          <w:sz w:val="24"/>
          <w:lang w:val="en-US" w:eastAsia="zh-CN"/>
        </w:rPr>
        <w:t>3</w:t>
      </w:r>
    </w:p>
    <w:p>
      <w:pPr>
        <w:pStyle w:val="14"/>
        <w:spacing w:before="120"/>
        <w:jc w:val="both"/>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jc w:val="both"/>
      </w:pPr>
      <w:r>
        <w:rPr>
          <w:rFonts w:hint="eastAsia"/>
        </w:rPr>
        <w:t>Introduction</w:t>
      </w:r>
    </w:p>
    <w:p>
      <w:pPr>
        <w:widowControl w:val="0"/>
        <w:spacing w:before="120" w:beforeLines="-2147483648" w:after="0" w:afterLines="-2147483648" w:line="259" w:lineRule="auto"/>
        <w:jc w:val="both"/>
        <w:rPr>
          <w:rFonts w:hint="eastAsia" w:ascii="Times New Roman" w:hAnsi="Times New Roman" w:eastAsia="宋体" w:cs="Times New Roman"/>
          <w:sz w:val="21"/>
          <w:szCs w:val="21"/>
        </w:rPr>
      </w:pPr>
      <w:r>
        <w:rPr>
          <w:rFonts w:hint="eastAsia" w:ascii="Times New Roman" w:hAnsi="Times New Roman" w:eastAsia="宋体" w:cs="Times New Roman"/>
          <w:sz w:val="20"/>
          <w:szCs w:val="20"/>
        </w:rPr>
        <w:t>At</w:t>
      </w:r>
      <w:r>
        <w:rPr>
          <w:rFonts w:ascii="Times New Roman" w:hAnsi="Times New Roman" w:eastAsia="宋体" w:cs="Times New Roman"/>
          <w:sz w:val="20"/>
          <w:szCs w:val="20"/>
        </w:rPr>
        <w:t xml:space="preserve"> last meeting, RAN2 discussed</w:t>
      </w:r>
      <w:r>
        <w:rPr>
          <w:rFonts w:hint="eastAsia" w:ascii="Times New Roman" w:hAnsi="Times New Roman" w:eastAsia="宋体" w:cs="Times New Roman"/>
          <w:sz w:val="20"/>
          <w:szCs w:val="20"/>
          <w:lang w:val="en-US" w:eastAsia="zh-CN"/>
        </w:rPr>
        <w:t xml:space="preserve"> </w:t>
      </w:r>
      <w:r>
        <w:rPr>
          <w:rFonts w:hint="eastAsia" w:eastAsia="宋体" w:cs="Times New Roman"/>
          <w:sz w:val="20"/>
          <w:szCs w:val="20"/>
          <w:lang w:val="en-US" w:eastAsia="zh-CN"/>
        </w:rPr>
        <w:t>subsequent CPAC</w:t>
      </w:r>
      <w:r>
        <w:rPr>
          <w:rFonts w:hint="eastAsia" w:ascii="Times New Roman" w:hAnsi="Times New Roman" w:eastAsia="宋体" w:cs="Times New Roman"/>
          <w:sz w:val="20"/>
          <w:szCs w:val="20"/>
          <w:lang w:val="en-US" w:eastAsia="zh-CN"/>
        </w:rPr>
        <w:t xml:space="preserve"> </w:t>
      </w:r>
      <w:r>
        <w:rPr>
          <w:rFonts w:ascii="Times New Roman" w:hAnsi="Times New Roman" w:eastAsia="宋体" w:cs="Times New Roman"/>
          <w:sz w:val="20"/>
          <w:szCs w:val="20"/>
        </w:rPr>
        <w:t>and made the following agreements [1]</w:t>
      </w:r>
      <w:r>
        <w:rPr>
          <w:rFonts w:hint="eastAsia" w:ascii="Times New Roman" w:hAnsi="Times New Roman" w:eastAsia="宋体" w:cs="Times New Roman"/>
          <w:sz w:val="20"/>
          <w:szCs w:val="20"/>
        </w:rPr>
        <w:t>:</w:t>
      </w:r>
      <w:r>
        <w:rPr>
          <w:rFonts w:hint="eastAsia" w:ascii="Times New Roman" w:hAnsi="Times New Roman" w:eastAsia="宋体" w:cs="Times New Roman"/>
          <w:sz w:val="21"/>
          <w:szCs w:val="21"/>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For SN-initiated SCG selective activation, candidate SN generates execution conditions for subsequent CPC.</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FFS if it shall be possible to do something like MN-initiated CPA/CPC where Candidate SN generate execution conditions for subsequent CPC</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 xml:space="preserve">The reference configuration is provided to all candidates involved in preparation, FFS which node initially generates it. Assume it can be provided in MN initiated and in SN initiated procedures.  </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Will not spend specific efforts for supporting nested configurations for candidate cell configuration.</w:t>
            </w:r>
          </w:p>
          <w:p>
            <w:pPr>
              <w:numPr>
                <w:ilvl w:val="0"/>
                <w:numId w:val="8"/>
              </w:numPr>
              <w:spacing w:before="60" w:after="0" w:line="240" w:lineRule="auto"/>
              <w:ind w:left="1619"/>
              <w:jc w:val="left"/>
              <w:rPr>
                <w:rFonts w:hint="eastAsia" w:ascii="Arial" w:hAnsi="Arial" w:eastAsia="MS Mincho" w:cs="Times New Roman"/>
                <w:b/>
                <w:szCs w:val="24"/>
                <w:lang w:val="en-US" w:eastAsia="zh-CN" w:bidi="ar-SA"/>
              </w:rPr>
            </w:pPr>
            <w:r>
              <w:rPr>
                <w:rFonts w:hint="eastAsia" w:ascii="Arial" w:hAnsi="Arial" w:eastAsia="MS Mincho" w:cs="Times New Roman"/>
                <w:b/>
                <w:szCs w:val="24"/>
                <w:lang w:val="en-US" w:eastAsia="zh-CN" w:bidi="ar-SA"/>
              </w:rPr>
              <w:t>Rapporteur take initiative on naming offline</w:t>
            </w:r>
          </w:p>
          <w:p>
            <w:pPr>
              <w:numPr>
                <w:ilvl w:val="0"/>
                <w:numId w:val="8"/>
              </w:numPr>
              <w:spacing w:before="60" w:after="0" w:line="240" w:lineRule="auto"/>
              <w:ind w:left="1619"/>
              <w:jc w:val="left"/>
            </w:pPr>
            <w:r>
              <w:rPr>
                <w:rFonts w:hint="eastAsia" w:ascii="Arial" w:hAnsi="Arial" w:eastAsia="MS Mincho" w:cs="Times New Roman"/>
                <w:b/>
                <w:szCs w:val="24"/>
                <w:lang w:val="en-US" w:eastAsia="zh-CN" w:bidi="ar-SA"/>
              </w:rPr>
              <w:t>Terminology is “Subsequent CPAC”</w:t>
            </w:r>
          </w:p>
        </w:tc>
      </w:tr>
    </w:tbl>
    <w:p>
      <w:pPr>
        <w:bidi w:val="0"/>
        <w:rPr>
          <w:rFonts w:hint="eastAsia" w:eastAsia="宋体"/>
          <w:lang w:val="en-US" w:eastAsia="zh-CN"/>
        </w:rPr>
      </w:pPr>
      <w:r>
        <w:rPr>
          <w:rFonts w:hint="eastAsia" w:eastAsia="宋体"/>
          <w:lang w:val="en-US" w:eastAsia="zh-CN"/>
        </w:rPr>
        <w:t>Besides, RAN2 endorsed the 37.340 running CR for subsequent CPAC in [2]. However, there are still some open issues on the stage-2 procedure, e.g. how to generate the reference configuration and execution conditions for subsequent CPC.</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2"/>
              <w:rPr>
                <w:lang w:eastAsia="zh-CN"/>
              </w:rPr>
            </w:pPr>
            <w:r>
              <w:rPr>
                <w:rFonts w:hint="eastAsia"/>
                <w:lang w:eastAsia="zh-CN"/>
              </w:rPr>
              <w:t>Editor</w:t>
            </w:r>
            <w:r>
              <w:rPr>
                <w:lang w:val="en-US" w:eastAsia="zh-CN"/>
              </w:rPr>
              <w:t>’s</w:t>
            </w:r>
            <w:r>
              <w:rPr>
                <w:rFonts w:hint="eastAsia"/>
                <w:lang w:eastAsia="zh-CN"/>
              </w:rPr>
              <w:t xml:space="preserve"> note: FFS </w:t>
            </w:r>
            <w:r>
              <w:rPr>
                <w:lang w:eastAsia="zh-CN"/>
              </w:rPr>
              <w:t xml:space="preserve">which node initially generates the reference configuration in </w:t>
            </w:r>
            <w:r>
              <w:rPr>
                <w:rFonts w:hint="eastAsia"/>
                <w:lang w:eastAsia="zh-CN"/>
              </w:rPr>
              <w:t>subsequent CPAC.</w:t>
            </w:r>
          </w:p>
          <w:p>
            <w:pPr>
              <w:pStyle w:val="42"/>
              <w:rPr>
                <w:rFonts w:hint="default" w:eastAsia="宋体"/>
                <w:vertAlign w:val="baseline"/>
                <w:lang w:val="en-US" w:eastAsia="zh-CN"/>
              </w:rPr>
            </w:pPr>
            <w:r>
              <w:rPr>
                <w:rFonts w:hint="eastAsia"/>
                <w:lang w:eastAsia="zh-CN"/>
              </w:rPr>
              <w:t>Editor</w:t>
            </w:r>
            <w:r>
              <w:rPr>
                <w:lang w:val="en-US" w:eastAsia="zh-CN"/>
              </w:rPr>
              <w:t>’s</w:t>
            </w:r>
            <w:r>
              <w:rPr>
                <w:rFonts w:hint="eastAsia"/>
                <w:lang w:eastAsia="zh-CN"/>
              </w:rPr>
              <w:t xml:space="preserve"> note: FFS </w:t>
            </w:r>
            <w:r>
              <w:rPr>
                <w:lang w:eastAsia="zh-CN"/>
              </w:rPr>
              <w:t>how/when to generate execution conditions for subsequent CPC, e.g. when the candidate SN decides the candidate PSCells for initial CPC, or after the candidate SN knows all candidate PSCells prepared by other candidate SNs</w:t>
            </w:r>
            <w:r>
              <w:rPr>
                <w:rFonts w:hint="eastAsia"/>
                <w:lang w:eastAsia="zh-CN"/>
              </w:rPr>
              <w:t>.</w:t>
            </w:r>
          </w:p>
        </w:tc>
      </w:tr>
    </w:tbl>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jc w:val="both"/>
        <w:textAlignment w:val="auto"/>
        <w:rPr>
          <w:rFonts w:hint="eastAsia" w:eastAsia="宋体"/>
          <w:bCs/>
          <w:szCs w:val="21"/>
        </w:rPr>
      </w:pPr>
      <w:r>
        <w:rPr>
          <w:rFonts w:hint="eastAsia" w:eastAsia="宋体"/>
          <w:bCs/>
          <w:szCs w:val="21"/>
        </w:rPr>
        <w:t xml:space="preserve">In this contribution, we discussed some </w:t>
      </w:r>
      <w:r>
        <w:rPr>
          <w:rFonts w:hint="eastAsia" w:eastAsia="宋体"/>
          <w:bCs/>
          <w:szCs w:val="21"/>
          <w:lang w:val="en-US" w:eastAsia="zh-CN"/>
        </w:rPr>
        <w:t>remaining</w:t>
      </w:r>
      <w:r>
        <w:rPr>
          <w:rFonts w:hint="eastAsia" w:eastAsia="宋体"/>
          <w:bCs/>
          <w:szCs w:val="21"/>
        </w:rPr>
        <w:t xml:space="preserve"> issues on </w:t>
      </w:r>
      <w:r>
        <w:rPr>
          <w:rFonts w:hint="eastAsia" w:eastAsia="宋体"/>
          <w:bCs/>
          <w:szCs w:val="21"/>
          <w:lang w:val="en-US" w:eastAsia="zh-CN"/>
        </w:rPr>
        <w:t>stage-2 procedure for subsequent CPAC</w:t>
      </w:r>
      <w:r>
        <w:rPr>
          <w:rFonts w:hint="eastAsia" w:eastAsia="宋体"/>
          <w:bCs/>
          <w:szCs w:val="21"/>
        </w:rPr>
        <w:t>.</w:t>
      </w:r>
    </w:p>
    <w:p>
      <w:pPr>
        <w:pStyle w:val="2"/>
        <w:spacing w:before="120" w:after="120"/>
        <w:jc w:val="both"/>
      </w:pPr>
      <w:r>
        <w:rPr>
          <w:rFonts w:hint="eastAsia"/>
        </w:rPr>
        <w:t>Discussion</w:t>
      </w:r>
      <w:r>
        <w:t>s</w:t>
      </w:r>
      <w:r>
        <w:rPr>
          <w:rFonts w:hint="eastAsia"/>
        </w:rPr>
        <w:t xml:space="preserve"> </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宋体"/>
          <w:kern w:val="0"/>
          <w:sz w:val="24"/>
          <w:lang w:val="en-US" w:eastAsia="zh-CN"/>
        </w:rPr>
      </w:pPr>
      <w:bookmarkStart w:id="0" w:name="_Toc24792"/>
      <w:bookmarkEnd w:id="0"/>
      <w:bookmarkStart w:id="1" w:name="_Toc6764"/>
      <w:bookmarkEnd w:id="1"/>
      <w:bookmarkStart w:id="2" w:name="_Toc939"/>
      <w:bookmarkEnd w:id="2"/>
      <w:r>
        <w:rPr>
          <w:rFonts w:hint="eastAsia" w:ascii="Arial" w:hAnsi="Arial" w:eastAsia="MS Mincho"/>
          <w:kern w:val="0"/>
          <w:sz w:val="24"/>
        </w:rPr>
        <w:t>2.</w:t>
      </w:r>
      <w:r>
        <w:rPr>
          <w:rFonts w:hint="eastAsia" w:ascii="Arial" w:hAnsi="Arial" w:eastAsia="宋体"/>
          <w:kern w:val="0"/>
          <w:sz w:val="24"/>
          <w:lang w:val="en-US" w:eastAsia="zh-CN"/>
        </w:rPr>
        <w:t>1</w:t>
      </w:r>
      <w:r>
        <w:rPr>
          <w:rFonts w:hint="eastAsia" w:ascii="Arial" w:hAnsi="Arial" w:eastAsia="MS Mincho"/>
          <w:kern w:val="0"/>
          <w:sz w:val="24"/>
        </w:rPr>
        <w:t xml:space="preserve"> </w:t>
      </w:r>
      <w:r>
        <w:rPr>
          <w:rFonts w:hint="eastAsia" w:ascii="Arial" w:hAnsi="Arial" w:eastAsia="宋体"/>
          <w:kern w:val="0"/>
          <w:sz w:val="24"/>
          <w:lang w:val="en-US" w:eastAsia="zh-CN"/>
        </w:rPr>
        <w:t>Reference configuration preparation</w:t>
      </w:r>
    </w:p>
    <w:p>
      <w:pPr>
        <w:bidi w:val="0"/>
        <w:rPr>
          <w:rFonts w:hint="eastAsia"/>
          <w:lang w:val="en-US" w:eastAsia="zh-CN"/>
        </w:rPr>
      </w:pPr>
      <w:r>
        <w:rPr>
          <w:rFonts w:hint="eastAsia"/>
          <w:lang w:val="en-US" w:eastAsia="zh-CN"/>
        </w:rPr>
        <w:t>It</w:t>
      </w:r>
      <w:r>
        <w:rPr>
          <w:rFonts w:hint="default"/>
          <w:lang w:val="en-US" w:eastAsia="zh-CN"/>
        </w:rPr>
        <w:t>’</w:t>
      </w:r>
      <w:r>
        <w:rPr>
          <w:rFonts w:hint="eastAsia"/>
          <w:lang w:val="en-US" w:eastAsia="zh-CN"/>
        </w:rPr>
        <w:t>s agreed to support subsequent CPAC for both MN/SN initiated inter-SN case and SN initiated intra-SN case. And one reference configuration is provided to all candidates involved in preparation. Considering that both MN/SN initiated inter-SN candidates and SN initiated intra-SN candidates can be configured simultaneously, a common reference generation procedure should be considered to be applicable for all supported cases.</w:t>
      </w:r>
    </w:p>
    <w:p>
      <w:pPr>
        <w:pStyle w:val="15"/>
        <w:bidi w:val="0"/>
        <w:rPr>
          <w:rFonts w:hint="default"/>
          <w:lang w:val="en-US" w:eastAsia="zh-CN"/>
        </w:rPr>
      </w:pPr>
      <w:r>
        <w:rPr>
          <w:rFonts w:hint="eastAsia"/>
          <w:lang w:val="en-US" w:eastAsia="zh-CN"/>
        </w:rPr>
        <w:t>Both MN/SN initiated inter-SN candidates and SN initiated intra-SN candidates may be configured simultaneously, so a common reference generation procedure should be considered to be applicable for all supported cases.</w:t>
      </w:r>
    </w:p>
    <w:p>
      <w:pPr>
        <w:bidi w:val="0"/>
        <w:rPr>
          <w:rFonts w:hint="eastAsia"/>
          <w:b w:val="0"/>
          <w:bCs/>
          <w:szCs w:val="21"/>
          <w:lang w:val="en-US" w:eastAsia="zh-CN"/>
        </w:rPr>
      </w:pPr>
      <w:r>
        <w:rPr>
          <w:rFonts w:hint="eastAsia"/>
          <w:b w:val="0"/>
          <w:bCs/>
          <w:szCs w:val="21"/>
          <w:lang w:val="en-US" w:eastAsia="zh-CN"/>
        </w:rPr>
        <w:t>For MN/SN initiated inter-SN CPC case, given that the MN is always involved in the preparation procedure,we think the MN can determine whether to provide a separate reference configuration (e.g. whether the reference configuration is empty) and how to generate the reference configuration. For the reference MCG configuration, it</w:t>
      </w:r>
      <w:r>
        <w:rPr>
          <w:rFonts w:hint="default"/>
          <w:b w:val="0"/>
          <w:bCs/>
          <w:szCs w:val="21"/>
          <w:lang w:val="en-US" w:eastAsia="zh-CN"/>
        </w:rPr>
        <w:t>’</w:t>
      </w:r>
      <w:r>
        <w:rPr>
          <w:rFonts w:hint="eastAsia"/>
          <w:b w:val="0"/>
          <w:bCs/>
          <w:szCs w:val="21"/>
          <w:lang w:val="en-US" w:eastAsia="zh-CN"/>
        </w:rPr>
        <w:t>s natural to let the MN generate such MCG part configuration. Regarding the reference SCG configuration, it should be generated by the SN. But the MN can flexibility determine which SN to generate, e.g. source SN, or any one of candidate SNs. For example, if there is a source SN at the initial preparation phase, the MN can initiate the SN modification request procedure to the source SN to request the source SN to generate the reference SCG configuration. And then the MN transfers the received reference SCG configuration to each candidate SN for candidate PSCell configuration generation. Alternatively, the MN can request a candidate SN to provide the reference SCG configuration when initiating the SN addition procedure to add the SN as a candidate.</w:t>
      </w:r>
    </w:p>
    <w:p>
      <w:pPr>
        <w:bidi w:val="0"/>
        <w:rPr>
          <w:rFonts w:hint="eastAsia"/>
          <w:lang w:val="en-US" w:eastAsia="zh-CN"/>
        </w:rPr>
      </w:pPr>
      <w:r>
        <w:rPr>
          <w:rFonts w:hint="eastAsia"/>
          <w:lang w:val="en-US" w:eastAsia="zh-CN"/>
        </w:rPr>
        <w:t>For intra-SN subsequent CPC, it seems straightforward that the source SN generates the reference configuration by itself. However, considering that the NW may configure intra-SN CPC and inter-SN CPC candidates simultaneously and only one reference configuration is provided for all candidate cells, it</w:t>
      </w:r>
      <w:r>
        <w:rPr>
          <w:rFonts w:hint="default"/>
          <w:lang w:val="en-US" w:eastAsia="zh-CN"/>
        </w:rPr>
        <w:t>’</w:t>
      </w:r>
      <w:r>
        <w:rPr>
          <w:rFonts w:hint="eastAsia"/>
          <w:lang w:val="en-US" w:eastAsia="zh-CN"/>
        </w:rPr>
        <w:t xml:space="preserve">s more reasonable to let the MN manage the reference configuration generation, even for intra-SN case. But currently, the MN has no idea about whether the intra-SN CPC is configured or not. Thus, the source SN needs to inform the MN that intra-SN subsequent CPC is to be configured. And then the MN can decide whether to let the source SN generate the reference SCG configuration. Otherwise, the MN can transfer the SCG configuration to the source SN, if it has generated by other candidate SN. </w:t>
      </w:r>
    </w:p>
    <w:p>
      <w:pPr>
        <w:bidi w:val="0"/>
        <w:rPr>
          <w:rFonts w:hint="default"/>
          <w:lang w:val="en-US" w:eastAsia="zh-CN"/>
        </w:rPr>
      </w:pPr>
      <w:r>
        <w:rPr>
          <w:rFonts w:hint="eastAsia"/>
          <w:lang w:val="en-US" w:eastAsia="zh-CN"/>
        </w:rPr>
        <w:t xml:space="preserve">According to the analysis above, we give the following proposals: </w:t>
      </w:r>
    </w:p>
    <w:p>
      <w:pPr>
        <w:pStyle w:val="16"/>
        <w:bidi w:val="0"/>
        <w:jc w:val="both"/>
        <w:rPr>
          <w:rFonts w:hint="eastAsia"/>
          <w:lang w:val="en-US" w:eastAsia="zh-CN"/>
        </w:rPr>
      </w:pPr>
      <w:r>
        <w:rPr>
          <w:rFonts w:hint="eastAsia"/>
          <w:lang w:val="en-US" w:eastAsia="zh-CN"/>
        </w:rPr>
        <w:t>The reference SCG configuration is generated by the SN (source or candidate).</w:t>
      </w:r>
    </w:p>
    <w:p>
      <w:pPr>
        <w:pStyle w:val="16"/>
        <w:bidi w:val="0"/>
        <w:jc w:val="both"/>
        <w:rPr>
          <w:rFonts w:hint="eastAsia"/>
          <w:lang w:val="en-US" w:eastAsia="zh-CN"/>
        </w:rPr>
      </w:pPr>
      <w:r>
        <w:rPr>
          <w:rFonts w:hint="eastAsia"/>
          <w:lang w:val="en-US" w:eastAsia="zh-CN"/>
        </w:rPr>
        <w:t xml:space="preserve">In subsequent CPAC (including both inter-SN and intra-SN cases), the MN determines how to generate/provide a reference configuration, e.g. whether the reference configuration is empty/optional, or which SN to generate the reference SCG configuration. </w:t>
      </w:r>
    </w:p>
    <w:p>
      <w:pPr>
        <w:pStyle w:val="16"/>
        <w:bidi w:val="0"/>
        <w:jc w:val="both"/>
        <w:rPr>
          <w:rFonts w:hint="eastAsia"/>
          <w:lang w:val="en-US" w:eastAsia="zh-CN"/>
        </w:rPr>
      </w:pPr>
      <w:r>
        <w:rPr>
          <w:rFonts w:hint="eastAsia"/>
          <w:lang w:val="en-US" w:eastAsia="zh-CN"/>
        </w:rPr>
        <w:t>The MN can request the candidate SN to generate the reference SCG configuration when initiating the SN addition procedure to the candidate SN.</w:t>
      </w:r>
    </w:p>
    <w:p>
      <w:pPr>
        <w:pStyle w:val="16"/>
        <w:bidi w:val="0"/>
        <w:jc w:val="both"/>
        <w:rPr>
          <w:rFonts w:hint="eastAsia"/>
          <w:lang w:val="en-US" w:eastAsia="zh-CN"/>
        </w:rPr>
      </w:pPr>
      <w:r>
        <w:rPr>
          <w:rFonts w:hint="eastAsia"/>
          <w:lang w:val="en-US" w:eastAsia="zh-CN"/>
        </w:rPr>
        <w:t>For intra-SN subsequent CPC, the source SN needs to inform the MN that the intra-SN subsequent CPC is to be configured. And then the MN decides whether to let the source SN generate the reference configuration.</w:t>
      </w:r>
    </w:p>
    <w:p>
      <w:pPr>
        <w:keepNext/>
        <w:keepLines/>
        <w:widowControl/>
        <w:overflowPunct w:val="0"/>
        <w:autoSpaceDE w:val="0"/>
        <w:autoSpaceDN w:val="0"/>
        <w:adjustRightInd w:val="0"/>
        <w:spacing w:before="180" w:beforeAutospacing="1" w:after="180" w:line="240" w:lineRule="auto"/>
        <w:jc w:val="both"/>
        <w:textAlignment w:val="baseline"/>
        <w:outlineLvl w:val="1"/>
        <w:rPr>
          <w:rFonts w:hint="default" w:ascii="Arial" w:hAnsi="Arial" w:eastAsia="MS Mincho"/>
          <w:kern w:val="0"/>
          <w:sz w:val="24"/>
          <w:lang w:val="en-US" w:eastAsia="zh-CN"/>
        </w:rPr>
      </w:pPr>
      <w:r>
        <w:rPr>
          <w:rFonts w:hint="eastAsia" w:ascii="Arial" w:hAnsi="Arial" w:eastAsia="MS Mincho"/>
          <w:kern w:val="0"/>
          <w:sz w:val="24"/>
          <w:lang w:val="en-US" w:eastAsia="zh-CN"/>
        </w:rPr>
        <w:t>2.2 Execution conditions generation</w:t>
      </w:r>
    </w:p>
    <w:p>
      <w:pPr>
        <w:bidi w:val="0"/>
        <w:rPr>
          <w:rFonts w:hint="eastAsia"/>
          <w:lang w:val="en-US" w:eastAsia="zh-CN"/>
        </w:rPr>
      </w:pPr>
      <w:r>
        <w:rPr>
          <w:rFonts w:hint="eastAsia"/>
          <w:lang w:val="en-US" w:eastAsia="zh-CN"/>
        </w:rPr>
        <w:t>Regarding the execution conditions for subsequent CPC, it</w:t>
      </w:r>
      <w:r>
        <w:rPr>
          <w:rFonts w:hint="default"/>
          <w:lang w:val="en-US" w:eastAsia="zh-CN"/>
        </w:rPr>
        <w:t>’</w:t>
      </w:r>
      <w:r>
        <w:rPr>
          <w:rFonts w:hint="eastAsia"/>
          <w:lang w:val="en-US" w:eastAsia="zh-CN"/>
        </w:rPr>
        <w:t xml:space="preserve">s agreed that the candidate SN generated the subsequent execution conditions in SN initiated case. We think the same solution can be used for MN initiated case, as analyzed in our contribution [3]. </w:t>
      </w:r>
    </w:p>
    <w:p>
      <w:pPr>
        <w:bidi w:val="0"/>
        <w:rPr>
          <w:rFonts w:hint="eastAsia"/>
          <w:lang w:val="en-US" w:eastAsia="zh-CN"/>
        </w:rPr>
      </w:pPr>
      <w:r>
        <w:rPr>
          <w:rFonts w:hint="eastAsia"/>
          <w:lang w:val="en-US" w:eastAsia="zh-CN"/>
        </w:rPr>
        <w:t>Taking MN initiate inter-SN subsequent CPAC as an example, a flow chart is shown as follows:</w:t>
      </w:r>
    </w:p>
    <w:p>
      <w:pPr>
        <w:widowControl w:val="0"/>
        <w:bidi w:val="0"/>
        <w:spacing w:beforeLines="-2147483648" w:after="160" w:afterLines="-2147483648" w:line="259" w:lineRule="auto"/>
        <w:jc w:val="center"/>
        <w:rPr>
          <w:rFonts w:eastAsia="宋体"/>
          <w:b/>
          <w:bCs/>
          <w:sz w:val="21"/>
          <w:szCs w:val="24"/>
        </w:rPr>
      </w:pPr>
      <w:r>
        <w:rPr>
          <w:rFonts w:ascii="Times New Roman" w:hAnsi="Times New Roman" w:eastAsia="宋体" w:cs="Times New Roman"/>
          <w:b/>
          <w:bCs/>
          <w:sz w:val="21"/>
          <w:szCs w:val="24"/>
          <w:highlight w:val="none"/>
        </w:rPr>
        <w:object>
          <v:shape id="_x0000_i1025" o:spt="75" type="#_x0000_t75" style="height:343.05pt;width:454.05pt;" o:ole="t" filled="f" o:preferrelative="t" stroked="f" coordsize="21600,21600">
            <v:path/>
            <v:fill on="f" focussize="0,0"/>
            <v:stroke on="f"/>
            <v:imagedata r:id="rId9" o:title=""/>
            <o:lock v:ext="edit" aspectratio="t"/>
            <w10:wrap type="none"/>
            <w10:anchorlock/>
          </v:shape>
          <o:OLEObject Type="Embed" ProgID="Mscgen.Chart" ShapeID="_x0000_i1025" DrawAspect="Content" ObjectID="_1468075725" r:id="rId8">
            <o:LockedField>false</o:LockedField>
          </o:OLEObject>
        </w:object>
      </w:r>
    </w:p>
    <w:p>
      <w:pPr>
        <w:widowControl w:val="0"/>
        <w:bidi w:val="0"/>
        <w:spacing w:beforeLines="-2147483648" w:after="160" w:afterLines="-2147483648" w:line="259" w:lineRule="auto"/>
        <w:jc w:val="center"/>
        <w:rPr>
          <w:rFonts w:hint="default" w:eastAsia="宋体"/>
          <w:b/>
          <w:bCs/>
          <w:sz w:val="21"/>
          <w:szCs w:val="24"/>
          <w:lang w:val="en-US" w:eastAsia="zh-CN"/>
        </w:rPr>
      </w:pPr>
      <w:r>
        <w:rPr>
          <w:rFonts w:hint="eastAsia" w:eastAsia="宋体"/>
          <w:b/>
          <w:bCs/>
          <w:sz w:val="21"/>
          <w:szCs w:val="24"/>
          <w:lang w:val="en-US" w:eastAsia="zh-CN"/>
        </w:rPr>
        <w:t>Fig.1 MN initiated inter-SN subsequent CPAC</w:t>
      </w:r>
    </w:p>
    <w:p>
      <w:pPr>
        <w:bidi w:val="0"/>
        <w:rPr>
          <w:rFonts w:hint="default"/>
          <w:lang w:val="en-US" w:eastAsia="zh-CN"/>
        </w:rPr>
      </w:pPr>
      <w:r>
        <w:rPr>
          <w:rFonts w:hint="eastAsia"/>
          <w:lang w:val="en-US" w:eastAsia="zh-CN"/>
        </w:rPr>
        <w:t>Step 1. The MN initiates the inter-SN subsequent CPAC procedure by sending SN Addition Request message to the candidate SN. The message may include an indication for subsequent CPAC, a reference SCG configuration, the latest measurement results for the candidate SN(s), etc. Besides, if the MN has the information about candidate PSCells that have been prepared by other candidate SN(s), the MN can also inform such candidate PSCells to the candidate SN, i.e. as the candidate PSCells for the subsequent CPC.</w:t>
      </w:r>
    </w:p>
    <w:p>
      <w:pPr>
        <w:pStyle w:val="16"/>
        <w:bidi w:val="0"/>
      </w:pPr>
      <w:r>
        <w:rPr>
          <w:rFonts w:hint="eastAsia"/>
          <w:lang w:val="en-US" w:eastAsia="zh-CN"/>
        </w:rPr>
        <w:t xml:space="preserve">The </w:t>
      </w:r>
      <w:r>
        <w:t xml:space="preserve">MN </w:t>
      </w:r>
      <w:r>
        <w:rPr>
          <w:rFonts w:hint="eastAsia"/>
          <w:lang w:val="en-US" w:eastAsia="zh-CN"/>
        </w:rPr>
        <w:t>can indicate the following information in the SN Addition Request message to each</w:t>
      </w:r>
      <w:r>
        <w:t xml:space="preserve"> candidate SN</w:t>
      </w:r>
      <w:r>
        <w:rPr>
          <w:rFonts w:hint="eastAsia"/>
          <w:lang w:val="en-US" w:eastAsia="zh-CN"/>
        </w:rPr>
        <w:t xml:space="preserve"> (e.g. for selection of candidates for subsequent CPC)</w:t>
      </w:r>
      <w:r>
        <w:t>:</w:t>
      </w:r>
    </w:p>
    <w:p>
      <w:pPr>
        <w:pStyle w:val="17"/>
        <w:bidi w:val="0"/>
        <w:rPr>
          <w:rFonts w:hint="eastAsia"/>
          <w:lang w:val="en-US" w:eastAsia="zh-CN"/>
        </w:rPr>
      </w:pPr>
      <w:r>
        <w:rPr>
          <w:rFonts w:hint="eastAsia"/>
          <w:lang w:val="en-US" w:eastAsia="zh-CN"/>
        </w:rPr>
        <w:t>candidate cells recommended by MN via the latest measurement results related to all potential candidate SNs;</w:t>
      </w:r>
    </w:p>
    <w:p>
      <w:pPr>
        <w:pStyle w:val="17"/>
        <w:bidi w:val="0"/>
        <w:rPr>
          <w:rFonts w:hint="default"/>
          <w:lang w:val="en-US" w:eastAsia="zh-CN"/>
        </w:rPr>
      </w:pPr>
      <w:r>
        <w:rPr>
          <w:rFonts w:hint="eastAsia"/>
          <w:lang w:val="en-US" w:eastAsia="zh-CN"/>
        </w:rPr>
        <w:t>candidate PSCell(s) that have been prepared by other candidate SN(s), if any;</w:t>
      </w:r>
    </w:p>
    <w:p>
      <w:pPr>
        <w:bidi w:val="0"/>
        <w:rPr>
          <w:rFonts w:hint="eastAsia"/>
          <w:lang w:val="en-US" w:eastAsia="zh-CN"/>
        </w:rPr>
      </w:pPr>
      <w:r>
        <w:rPr>
          <w:rFonts w:hint="eastAsia"/>
          <w:lang w:val="en-US" w:eastAsia="zh-CN"/>
        </w:rPr>
        <w:t>Step 2. From the measurement results indicated by the MN, the candidate SN decides the PSCell(s) to be prepared for initial CPC, and provides the candidate SCG configuration for each prepared candidate PSCell (e.g. based on the reference SCG configuration). For each initial prepared candidate PSCell, the candidate SN suggests the subsequent candidate SNs or/and subsequent candidate PSCells for that candidate PSCell (i.e. used when the PSCell becomes the serving PSCell). The candidate SN may also provide the execution conditions for each subsequent candidate PSCells for the subsequent CPC. The execution condition is based on the candidate SCG measurement configuration for the prepared candidate PSCell. The candidate SN sends a SN Addition Request Acknowledge message to the MN. The message includes a list of prepared candidate PSCell. For each prepared candidate PSCell, it includes the candidate SCG configuration, and may also include a set of subsequent candidate PSCells, as well as the execution conditions.</w:t>
      </w:r>
    </w:p>
    <w:p>
      <w:pPr>
        <w:pStyle w:val="16"/>
        <w:bidi w:val="0"/>
      </w:pPr>
      <w:r>
        <w:rPr>
          <w:rFonts w:hint="eastAsia"/>
          <w:lang w:val="en-US" w:eastAsia="zh-CN"/>
        </w:rPr>
        <w:t xml:space="preserve">For each prepared candidate PSCell for initial CPAC, the candidate SN can suggest the candidates for subsequent CPC and prepares the associated execution conditions. </w:t>
      </w:r>
    </w:p>
    <w:p>
      <w:pPr>
        <w:pStyle w:val="16"/>
        <w:bidi w:val="0"/>
      </w:pPr>
      <w:r>
        <w:rPr>
          <w:rFonts w:hint="eastAsia"/>
          <w:lang w:val="en-US" w:eastAsia="zh-CN"/>
        </w:rPr>
        <w:t>T</w:t>
      </w:r>
      <w:r>
        <w:t>he candidate SN includes</w:t>
      </w:r>
      <w:r>
        <w:rPr>
          <w:rFonts w:hint="eastAsia"/>
          <w:lang w:val="en-US" w:eastAsia="zh-CN"/>
        </w:rPr>
        <w:t xml:space="preserve"> a list of prepared candidate PSCell(s) in SN Addition Request Acknowledge message, and for each prepared candidate PSCell, it includes</w:t>
      </w:r>
      <w:r>
        <w:t>:</w:t>
      </w:r>
    </w:p>
    <w:p>
      <w:pPr>
        <w:pStyle w:val="17"/>
        <w:bidi w:val="0"/>
        <w:rPr>
          <w:rFonts w:hint="default"/>
          <w:lang w:val="en-US" w:eastAsia="zh-CN"/>
        </w:rPr>
      </w:pPr>
      <w:r>
        <w:rPr>
          <w:rFonts w:hint="eastAsia"/>
          <w:lang w:val="en-US" w:eastAsia="zh-CN"/>
        </w:rPr>
        <w:t>a). candidate SCG configuration, which includes the SCG measurement configuration;</w:t>
      </w:r>
    </w:p>
    <w:p>
      <w:pPr>
        <w:pStyle w:val="17"/>
        <w:bidi w:val="0"/>
        <w:rPr>
          <w:rFonts w:hint="eastAsia"/>
          <w:lang w:val="en-US" w:eastAsia="zh-CN"/>
        </w:rPr>
      </w:pPr>
      <w:r>
        <w:rPr>
          <w:rFonts w:hint="eastAsia"/>
          <w:lang w:val="en-US" w:eastAsia="zh-CN"/>
        </w:rPr>
        <w:t>b). a list of candidate PSCells for the subsequent CPC, and associated execution conditions (based on the SCG measurement configuration in a) ).</w:t>
      </w:r>
    </w:p>
    <w:p>
      <w:pPr>
        <w:bidi w:val="0"/>
        <w:rPr>
          <w:rFonts w:hint="eastAsia"/>
          <w:lang w:val="en-US" w:eastAsia="zh-CN"/>
        </w:rPr>
      </w:pPr>
      <w:r>
        <w:rPr>
          <w:rFonts w:hint="eastAsia"/>
          <w:lang w:val="en-US" w:eastAsia="zh-CN"/>
        </w:rPr>
        <w:t>Step 3/4. For each prepared candidate PSCell, if it has subsequent candidate PSCells, the MN generates the association between the prepared candidate PSCell configuration and the execution condition for the subsequent candidate PSCell. If there is a subsequent candidate PSCell whose candidate PSCell configuration or/and the execution condition are not prepared, the MN may inform the candidate SN. For example, for each prepared candidate PSCell, the MN may inform the candidate SN which subsequent candidate PSCells have been prepared (i.e. the cell whose candidate configuration and the associated execution condition have been prepared) via SN Modification Request procedure. The MN sends SN Modification Request message to the candidate SN to inform a set of prepared subsequent candidate PSCells for each prepared candidate PSCells belonging to this candidate SN. The candidate SN responses the SN Modification Request Acknowledge message. In the SN Modification Request Acknowledge message, the candidate SN may include the candidate SCG configurations with updated SCG measurement configurations, taking into account the prepared candidate PSCells for the subsequent CPC.</w:t>
      </w:r>
    </w:p>
    <w:p>
      <w:pPr>
        <w:pStyle w:val="16"/>
        <w:bidi w:val="0"/>
        <w:rPr>
          <w:rFonts w:hint="eastAsia"/>
          <w:lang w:val="en-US" w:eastAsia="zh-CN"/>
        </w:rPr>
      </w:pPr>
      <w:r>
        <w:rPr>
          <w:rFonts w:hint="eastAsia"/>
          <w:lang w:val="en-US" w:eastAsia="zh-CN"/>
        </w:rPr>
        <w:t>For each candidate PSCell for subsequent CPC, the MN is responsible to associate the candidate PSCell configuration with the execution condition for the subsequent CPC, if any.</w:t>
      </w:r>
    </w:p>
    <w:p>
      <w:pPr>
        <w:pStyle w:val="16"/>
        <w:bidi w:val="0"/>
        <w:rPr>
          <w:rFonts w:hint="default"/>
          <w:lang w:val="en-US" w:eastAsia="zh-CN"/>
        </w:rPr>
      </w:pPr>
      <w:r>
        <w:rPr>
          <w:rFonts w:hint="eastAsia"/>
          <w:lang w:val="en-US" w:eastAsia="zh-CN"/>
        </w:rPr>
        <w:t>The MN may initiate the SN modification procedure towards the candidate SN to inform the prepared candidate PSCell(s) for subsequent CPC, e.g. when not all suggested candidates for subsequent CPC were accepted/prepared.</w:t>
      </w:r>
    </w:p>
    <w:p>
      <w:pPr>
        <w:pStyle w:val="16"/>
        <w:bidi w:val="0"/>
        <w:rPr>
          <w:rFonts w:hint="default"/>
          <w:lang w:val="en-US" w:eastAsia="zh-CN"/>
        </w:rPr>
      </w:pPr>
      <w:r>
        <w:rPr>
          <w:rFonts w:hint="eastAsia"/>
          <w:lang w:val="en-US" w:eastAsia="zh-CN"/>
        </w:rPr>
        <w:t>According to the prepared candidate PSCells for the subsequent CPC, the candidate SN can provide</w:t>
      </w:r>
      <w:bookmarkStart w:id="4" w:name="_GoBack"/>
      <w:bookmarkEnd w:id="4"/>
      <w:r>
        <w:rPr>
          <w:rFonts w:hint="eastAsia"/>
          <w:lang w:val="en-US" w:eastAsia="zh-CN"/>
        </w:rPr>
        <w:t xml:space="preserve"> the updated candidate SCG configurations (with updated measurement configuration) and/or the execution conditions to the MN.</w:t>
      </w:r>
    </w:p>
    <w:p>
      <w:pPr>
        <w:bidi w:val="0"/>
        <w:rPr>
          <w:rFonts w:hint="eastAsia"/>
          <w:lang w:val="en-US" w:eastAsia="zh-CN"/>
        </w:rPr>
      </w:pPr>
      <w:r>
        <w:rPr>
          <w:rFonts w:hint="eastAsia"/>
          <w:lang w:val="en-US" w:eastAsia="zh-CN"/>
        </w:rPr>
        <w:t>Step 5. The MN sends to the UE an RRCReconfiguration message including the subsequent CPAC configuration. The subsequent CPAC configuration can include the reference configuration, a list of prepared candidate PSCell. For each prepared candidate PSCell configuration, it can include the candidate PSCell configuration index, the candidate PSCell configuration, the execution condition (for initial CPAC), and may also include the information for subsequent CPAC, e.g. a set of subsequent candidate PSCells to be evaluated for the next CPC, as well as the execution conditions for the subsequent CPC. A example of the ASN.1 signalling structure is shown in the Annex.</w:t>
      </w:r>
    </w:p>
    <w:p>
      <w:pPr>
        <w:pStyle w:val="16"/>
        <w:bidi w:val="0"/>
        <w:rPr>
          <w:rFonts w:hint="eastAsia"/>
          <w:lang w:val="en-US" w:eastAsia="zh-CN"/>
        </w:rPr>
      </w:pPr>
      <w:r>
        <w:rPr>
          <w:rFonts w:hint="eastAsia"/>
          <w:lang w:val="en-US" w:eastAsia="zh-CN"/>
        </w:rPr>
        <w:t>In the subsequent CPAC configuration, for each candidate PSCell, it can include the following information:</w:t>
      </w:r>
    </w:p>
    <w:p>
      <w:pPr>
        <w:pStyle w:val="17"/>
        <w:bidi w:val="0"/>
        <w:rPr>
          <w:rFonts w:hint="default"/>
          <w:lang w:val="en-US" w:eastAsia="zh-CN"/>
        </w:rPr>
      </w:pPr>
      <w:r>
        <w:rPr>
          <w:rFonts w:hint="eastAsia"/>
          <w:lang w:val="en-US" w:eastAsia="zh-CN"/>
        </w:rPr>
        <w:t>a). a list of candidate PSCell to be evaluated for the subsequent CPC (i.e. used when the candidate PSCell becomes a serving PSCell);</w:t>
      </w:r>
    </w:p>
    <w:p>
      <w:pPr>
        <w:pStyle w:val="17"/>
        <w:bidi w:val="0"/>
        <w:rPr>
          <w:rFonts w:hint="default"/>
          <w:lang w:val="en-US" w:eastAsia="zh-CN"/>
        </w:rPr>
      </w:pPr>
      <w:r>
        <w:rPr>
          <w:rFonts w:hint="eastAsia"/>
          <w:lang w:val="en-US" w:eastAsia="zh-CN"/>
        </w:rPr>
        <w:t>b). the execution condition(s) associated with each cell in a).</w:t>
      </w:r>
    </w:p>
    <w:p>
      <w:pPr>
        <w:bidi w:val="0"/>
        <w:rPr>
          <w:rFonts w:hint="eastAsia"/>
          <w:lang w:val="en-US" w:eastAsia="zh-CN"/>
        </w:rPr>
      </w:pPr>
      <w:r>
        <w:rPr>
          <w:rFonts w:hint="eastAsia"/>
          <w:lang w:val="en-US" w:eastAsia="zh-CN"/>
        </w:rPr>
        <w:t>For SN initiated inter-SN subsequent CPAC, the overall procedure is similar to the MN initiated case, but the procedure is initiated by the source SN. An example of flow chart is shown as follows:</w:t>
      </w:r>
    </w:p>
    <w:p>
      <w:pPr>
        <w:widowControl w:val="0"/>
        <w:bidi w:val="0"/>
        <w:spacing w:beforeLines="-2147483648" w:after="160" w:afterLines="-2147483648" w:line="259" w:lineRule="auto"/>
        <w:jc w:val="center"/>
        <w:rPr>
          <w:rFonts w:hint="eastAsia" w:eastAsia="宋体"/>
          <w:b/>
          <w:bCs/>
          <w:sz w:val="21"/>
          <w:szCs w:val="24"/>
          <w:lang w:val="en-US" w:eastAsia="zh-CN"/>
        </w:rPr>
      </w:pPr>
      <w:r>
        <w:rPr>
          <w:rFonts w:ascii="Times New Roman" w:hAnsi="Times New Roman" w:eastAsia="宋体" w:cs="Times New Roman"/>
          <w:b/>
          <w:bCs/>
          <w:sz w:val="21"/>
          <w:szCs w:val="24"/>
          <w:highlight w:val="none"/>
        </w:rPr>
        <w:object>
          <v:shape id="_x0000_i1026" o:spt="75" type="#_x0000_t75" style="height:422.7pt;width:482.35pt;" o:ole="t" filled="f" o:preferrelative="t" stroked="f" coordsize="21600,21600">
            <v:path/>
            <v:fill on="f" focussize="0,0"/>
            <v:stroke on="f"/>
            <v:imagedata r:id="rId11" o:title=""/>
            <o:lock v:ext="edit" aspectratio="t"/>
            <w10:wrap type="none"/>
            <w10:anchorlock/>
          </v:shape>
          <o:OLEObject Type="Embed" ProgID="Mscgen.Chart" ShapeID="_x0000_i1026" DrawAspect="Content" ObjectID="_1468075726" r:id="rId10">
            <o:LockedField>false</o:LockedField>
          </o:OLEObject>
        </w:object>
      </w:r>
      <w:r>
        <w:rPr>
          <w:rFonts w:hint="eastAsia" w:eastAsia="宋体"/>
          <w:b/>
          <w:bCs/>
          <w:sz w:val="21"/>
          <w:szCs w:val="24"/>
          <w:lang w:val="en-US" w:eastAsia="zh-CN"/>
        </w:rPr>
        <w:t>Fig.2 SN initiated inter-SN Subsequent CPAC</w:t>
      </w:r>
    </w:p>
    <w:p>
      <w:pPr>
        <w:bidi w:val="0"/>
        <w:rPr>
          <w:rFonts w:hint="default"/>
          <w:lang w:val="en-US" w:eastAsia="zh-CN"/>
        </w:rPr>
      </w:pPr>
      <w:r>
        <w:rPr>
          <w:rFonts w:hint="default"/>
          <w:lang w:val="en-US" w:eastAsia="zh-CN"/>
        </w:rPr>
        <w:t>Step 1: The source SN initiates the</w:t>
      </w:r>
      <w:r>
        <w:rPr>
          <w:rFonts w:hint="eastAsia"/>
          <w:lang w:val="en-US" w:eastAsia="zh-CN"/>
        </w:rPr>
        <w:t xml:space="preserve"> s</w:t>
      </w:r>
      <w:r>
        <w:rPr>
          <w:rFonts w:hint="default"/>
          <w:lang w:val="en-US" w:eastAsia="zh-CN"/>
        </w:rPr>
        <w:t xml:space="preserve">ubsequent CPAC procedure by sending an SN change required message to the MN. The message may include an indication for </w:t>
      </w:r>
      <w:r>
        <w:rPr>
          <w:rFonts w:hint="eastAsia"/>
          <w:lang w:val="en-US" w:eastAsia="zh-CN"/>
        </w:rPr>
        <w:t>s</w:t>
      </w:r>
      <w:r>
        <w:rPr>
          <w:rFonts w:hint="default"/>
          <w:lang w:val="en-US" w:eastAsia="zh-CN"/>
        </w:rPr>
        <w:t xml:space="preserve">ubsequent CPAC, a reference SCG configuration, measurement results related </w:t>
      </w:r>
      <w:r>
        <w:rPr>
          <w:rFonts w:hint="eastAsia"/>
          <w:lang w:val="en-US" w:eastAsia="zh-CN"/>
        </w:rPr>
        <w:t>to</w:t>
      </w:r>
      <w:r>
        <w:rPr>
          <w:rFonts w:hint="default"/>
          <w:lang w:val="en-US" w:eastAsia="zh-CN"/>
        </w:rPr>
        <w:t xml:space="preserve"> the candidate SN</w:t>
      </w:r>
      <w:r>
        <w:rPr>
          <w:rFonts w:hint="eastAsia"/>
          <w:lang w:val="en-US" w:eastAsia="zh-CN"/>
        </w:rPr>
        <w:t>(s)</w:t>
      </w:r>
      <w:r>
        <w:rPr>
          <w:rFonts w:hint="default"/>
          <w:lang w:val="en-US" w:eastAsia="zh-CN"/>
        </w:rPr>
        <w:t>, a list of proposed PSCell candidates recommended by the source SN</w:t>
      </w:r>
      <w:r>
        <w:rPr>
          <w:rFonts w:hint="eastAsia"/>
          <w:lang w:val="en-US" w:eastAsia="zh-CN"/>
        </w:rPr>
        <w:t xml:space="preserve"> with </w:t>
      </w:r>
      <w:r>
        <w:rPr>
          <w:rFonts w:hint="default"/>
          <w:lang w:val="en-US" w:eastAsia="zh-CN"/>
        </w:rPr>
        <w:t>execution conditions</w:t>
      </w:r>
      <w:r>
        <w:rPr>
          <w:rFonts w:hint="eastAsia"/>
          <w:lang w:val="en-US" w:eastAsia="zh-CN"/>
        </w:rPr>
        <w:t xml:space="preserve">, </w:t>
      </w:r>
      <w:r>
        <w:rPr>
          <w:rFonts w:hint="default"/>
          <w:lang w:val="en-US" w:eastAsia="zh-CN"/>
        </w:rPr>
        <w:t>etc.</w:t>
      </w:r>
    </w:p>
    <w:p>
      <w:pPr>
        <w:pStyle w:val="16"/>
        <w:bidi w:val="0"/>
        <w:rPr>
          <w:rFonts w:hint="default"/>
          <w:lang w:val="en-US" w:eastAsia="zh-CN"/>
        </w:rPr>
      </w:pPr>
      <w:r>
        <w:rPr>
          <w:rFonts w:hint="eastAsia"/>
          <w:lang w:val="en-US" w:eastAsia="zh-CN"/>
        </w:rPr>
        <w:t>For SN initiated inter-SN subsequent CPAC, the source SN indicates to the MN a list of candidate SNs and candidate PSCells for the initial and subsequent CPC, and execution conditions associated with each candidate PSCell only for the initial CPC, i.e. similar to the legacy procedure.</w:t>
      </w:r>
    </w:p>
    <w:p>
      <w:pPr>
        <w:bidi w:val="0"/>
        <w:rPr>
          <w:rFonts w:hint="default"/>
          <w:lang w:val="en-US" w:eastAsia="zh-CN"/>
        </w:rPr>
      </w:pPr>
      <w:r>
        <w:rPr>
          <w:rFonts w:hint="eastAsia"/>
          <w:lang w:val="en-US" w:eastAsia="zh-CN"/>
        </w:rPr>
        <w:t>The step 2~7 in Fig. 2 for the subsequent CPAC preparation is similar to the MN initiated case, i.e. step 1~6 in Fig 1. Thus the similar proposals (i.e. proposal 5-11) for MN initiated case are also applicable to SN initiated case.</w:t>
      </w:r>
    </w:p>
    <w:p>
      <w:pPr>
        <w:bidi w:val="0"/>
        <w:rPr>
          <w:rFonts w:hint="eastAsia"/>
          <w:lang w:val="en-US" w:eastAsia="zh-CN"/>
        </w:rPr>
      </w:pPr>
    </w:p>
    <w:p>
      <w:pPr>
        <w:pStyle w:val="2"/>
        <w:spacing w:before="120" w:after="120"/>
        <w:jc w:val="both"/>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jc w:val="both"/>
        <w:textAlignment w:val="auto"/>
      </w:pPr>
      <w:r>
        <w:rPr>
          <w:rFonts w:hint="eastAsia" w:eastAsia="宋体"/>
          <w:bCs/>
          <w:szCs w:val="21"/>
        </w:rPr>
        <w:t xml:space="preserve">In this contribution, we discussed </w:t>
      </w:r>
      <w:r>
        <w:rPr>
          <w:rFonts w:hint="eastAsia" w:eastAsia="宋体"/>
          <w:bCs/>
          <w:szCs w:val="21"/>
          <w:lang w:val="en-US" w:eastAsia="zh-CN"/>
        </w:rPr>
        <w:t>some open issues on the stage-2 procedure for subsequent CPAC</w:t>
      </w:r>
      <w:r>
        <w:rPr>
          <w:rFonts w:hint="eastAsia" w:eastAsia="宋体"/>
          <w:bCs/>
          <w:szCs w:val="21"/>
        </w:rPr>
        <w:t xml:space="preserve"> with the following observations and proposals:</w:t>
      </w:r>
    </w:p>
    <w:p>
      <w:pPr>
        <w:pStyle w:val="8"/>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Both MN/SN initiated inter-SN candidates and SN initiated intra-SN candidates may be configured simultaneously, so a common reference generation procedure should be considered to be applicable for all supported cases.</w:t>
      </w:r>
    </w:p>
    <w:p>
      <w:pPr>
        <w:spacing w:before="120" w:after="120"/>
      </w:pPr>
      <w:r>
        <w:fldChar w:fldCharType="end"/>
      </w:r>
    </w:p>
    <w:p>
      <w:pPr>
        <w:bidi w:val="0"/>
        <w:rPr>
          <w:rFonts w:hint="default"/>
          <w:b/>
          <w:bCs/>
          <w:color w:val="0070C0"/>
          <w:lang w:val="en-US"/>
        </w:rPr>
      </w:pPr>
      <w:r>
        <w:rPr>
          <w:rFonts w:hint="eastAsia"/>
          <w:b/>
          <w:bCs/>
          <w:color w:val="0070C0"/>
          <w:lang w:val="en-US" w:eastAsia="zh-CN"/>
        </w:rPr>
        <w:t>Reference configuration preparation</w:t>
      </w:r>
    </w:p>
    <w:p>
      <w:pPr>
        <w:pStyle w:val="8"/>
        <w:tabs>
          <w:tab w:val="right" w:leader="dot" w:pos="9660"/>
        </w:tabs>
        <w:rPr>
          <w:i w:val="0"/>
          <w:iCs w:val="0"/>
        </w:rPr>
      </w:pPr>
      <w:r>
        <w:rPr>
          <w:b/>
          <w:bCs w:val="0"/>
          <w:i w:val="0"/>
          <w:iCs w:val="0"/>
        </w:rPr>
        <w:fldChar w:fldCharType="begin"/>
      </w:r>
      <w:r>
        <w:rPr>
          <w:b/>
          <w:bCs w:val="0"/>
          <w:i w:val="0"/>
          <w:iCs w:val="0"/>
        </w:rPr>
        <w:instrText xml:space="preserve"> TOC \n \t "!ZTE-Proposal-2021 + </w:instrText>
      </w:r>
      <w:r>
        <w:rPr>
          <w:rFonts w:hint="eastAsia" w:ascii="宋体" w:hAnsi="宋体" w:eastAsia="宋体" w:cs="宋体"/>
          <w:b/>
          <w:bCs w:val="0"/>
          <w:i w:val="0"/>
          <w:iCs w:val="0"/>
        </w:rPr>
        <w:instrText xml:space="preserve">段前</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 </w:instrText>
      </w:r>
      <w:r>
        <w:rPr>
          <w:rFonts w:hint="eastAsia" w:ascii="宋体" w:hAnsi="宋体" w:eastAsia="宋体" w:cs="宋体"/>
          <w:b/>
          <w:bCs w:val="0"/>
          <w:i w:val="0"/>
          <w:iCs w:val="0"/>
        </w:rPr>
        <w:instrText xml:space="preserve">段后</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,1,sub-proposal,2,3rd level proposal,3" </w:instrText>
      </w:r>
      <w:r>
        <w:rPr>
          <w:b/>
          <w:bCs w:val="0"/>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The reference SCG configuration is generated by the SN (source or candidate).</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In subsequent CPAC (including both inter-SN and intra-SN cases), the MN determines how to generate/provide a reference configuration, e.g. whether the reference configuration is empty/optional, or which SN to generate the reference SCG configuration.</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The MN can request the candidate SN to generate the reference SCG configuration when initiating the SN addition procedure to the candidate SN.</w:t>
      </w:r>
    </w:p>
    <w:p>
      <w:pPr>
        <w:pStyle w:val="8"/>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4: </w:t>
      </w:r>
      <w:r>
        <w:rPr>
          <w:rFonts w:hint="eastAsia"/>
          <w:i w:val="0"/>
          <w:iCs w:val="0"/>
          <w:lang w:val="en-US" w:eastAsia="zh-CN"/>
        </w:rPr>
        <w:t>For intra-SN subsequent CPC, the source SN needs to inform the MN that the intra-SN subsequent CPC is to be configured. And then the MN decides whether to let the source SN generate the reference configuration.</w:t>
      </w:r>
    </w:p>
    <w:p>
      <w:pPr>
        <w:bidi w:val="0"/>
        <w:rPr>
          <w:rFonts w:hint="eastAsia"/>
          <w:b/>
          <w:bCs/>
          <w:color w:val="0070C0"/>
          <w:lang w:val="en-US" w:eastAsia="zh-CN"/>
        </w:rPr>
      </w:pPr>
      <w:r>
        <w:rPr>
          <w:rFonts w:hint="eastAsia"/>
          <w:b/>
          <w:bCs/>
          <w:color w:val="0070C0"/>
          <w:lang w:val="en-US" w:eastAsia="zh-CN"/>
        </w:rPr>
        <w:t>Execution conditions generation</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rPr>
        <w:t xml:space="preserve">Proposal 5: </w:t>
      </w:r>
      <w:r>
        <w:rPr>
          <w:rFonts w:hint="eastAsia"/>
          <w:i w:val="0"/>
          <w:iCs w:val="0"/>
          <w:lang w:val="en-US" w:eastAsia="zh-CN"/>
        </w:rPr>
        <w:t xml:space="preserve">The </w:t>
      </w:r>
      <w:r>
        <w:rPr>
          <w:i w:val="0"/>
          <w:iCs w:val="0"/>
        </w:rPr>
        <w:t xml:space="preserve">MN </w:t>
      </w:r>
      <w:r>
        <w:rPr>
          <w:rFonts w:hint="eastAsia"/>
          <w:i w:val="0"/>
          <w:iCs w:val="0"/>
          <w:lang w:val="en-US" w:eastAsia="zh-CN"/>
        </w:rPr>
        <w:t>can indicate the following information in the SN Addition Request message to each</w:t>
      </w:r>
      <w:r>
        <w:rPr>
          <w:i w:val="0"/>
          <w:iCs w:val="0"/>
        </w:rPr>
        <w:t xml:space="preserve"> candidate SN</w:t>
      </w:r>
      <w:r>
        <w:rPr>
          <w:rFonts w:hint="eastAsia"/>
          <w:i w:val="0"/>
          <w:iCs w:val="0"/>
          <w:lang w:val="en-US" w:eastAsia="zh-CN"/>
        </w:rPr>
        <w:t xml:space="preserve"> (e.g. for selection of candidates for subsequent CPC)</w:t>
      </w:r>
      <w:r>
        <w:rPr>
          <w:i w:val="0"/>
          <w:iCs w:val="0"/>
        </w:rPr>
        <w:t>:</w:t>
      </w:r>
    </w:p>
    <w:p>
      <w:pPr>
        <w:pStyle w:val="10"/>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candidate cells recommended by MN via the latest measurement results related to all potential candidate SNs;</w:t>
      </w:r>
    </w:p>
    <w:p>
      <w:pPr>
        <w:pStyle w:val="10"/>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candidate PSCell(s) that have been prepared by other candidate SN(s), if any;</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For each prepared candidate PSCell for initial CPAC, the candidate SN can suggest the candidates for subsequent CPC and prepare the associated execution conditions.</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rPr>
        <w:t xml:space="preserve">Proposal 7: </w:t>
      </w:r>
      <w:r>
        <w:rPr>
          <w:rFonts w:hint="eastAsia"/>
          <w:i w:val="0"/>
          <w:iCs w:val="0"/>
          <w:lang w:val="en-US" w:eastAsia="zh-CN"/>
        </w:rPr>
        <w:t>T</w:t>
      </w:r>
      <w:r>
        <w:rPr>
          <w:i w:val="0"/>
          <w:iCs w:val="0"/>
        </w:rPr>
        <w:t>he candidate SN includes</w:t>
      </w:r>
      <w:r>
        <w:rPr>
          <w:rFonts w:hint="eastAsia"/>
          <w:i w:val="0"/>
          <w:iCs w:val="0"/>
          <w:lang w:val="en-US" w:eastAsia="zh-CN"/>
        </w:rPr>
        <w:t xml:space="preserve"> a list of prepared candidate PSCell(s) in SN Addition Request Acknowledge message, and for each prepared candidate PSCell, it includes</w:t>
      </w:r>
      <w:r>
        <w:rPr>
          <w:i w:val="0"/>
          <w:iCs w:val="0"/>
        </w:rPr>
        <w:t>:</w:t>
      </w:r>
    </w:p>
    <w:p>
      <w:pPr>
        <w:pStyle w:val="10"/>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a). candidate SCG configuration, which includes the SCG measurement configuration;</w:t>
      </w:r>
    </w:p>
    <w:p>
      <w:pPr>
        <w:pStyle w:val="10"/>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b). a list of candidate PSCells for the subsequent CPC, and associated execution conditions (based on the SCG measurement configuration in a) ).</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8: </w:t>
      </w:r>
      <w:r>
        <w:rPr>
          <w:rFonts w:hint="eastAsia"/>
          <w:i w:val="0"/>
          <w:iCs w:val="0"/>
          <w:lang w:val="en-US" w:eastAsia="zh-CN"/>
        </w:rPr>
        <w:t>For each candidate PSCell for subsequent CPC, the MN is responsible to associate the candidate PSCell configuration with the execution condition for the subsequent CPC, if any.</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9: </w:t>
      </w:r>
      <w:r>
        <w:rPr>
          <w:rFonts w:hint="eastAsia"/>
          <w:i w:val="0"/>
          <w:iCs w:val="0"/>
          <w:lang w:val="en-US" w:eastAsia="zh-CN"/>
        </w:rPr>
        <w:t>The MN may initiate the SN modification procedure towards the candidate SN to inform the prepared candidate PSCell(s) for subsequent CPC, e.g. when not all suggested candidates for subsequent CPC were accepted/prepared.</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10: </w:t>
      </w:r>
      <w:r>
        <w:rPr>
          <w:rFonts w:hint="eastAsia"/>
          <w:i w:val="0"/>
          <w:iCs w:val="0"/>
          <w:lang w:val="en-US" w:eastAsia="zh-CN"/>
        </w:rPr>
        <w:t>According to the prepared candidate PSCells for the subsequent CPC, the candidate SN can provide the updated candidate SCG configurations (with updated measurement configuration) and/or the execution conditions to the MN.</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11: </w:t>
      </w:r>
      <w:r>
        <w:rPr>
          <w:rFonts w:hint="eastAsia"/>
          <w:i w:val="0"/>
          <w:iCs w:val="0"/>
          <w:lang w:val="en-US" w:eastAsia="zh-CN"/>
        </w:rPr>
        <w:t>In the subsequent CPAC configuration, for each candidate PSCell, it can include the following information:</w:t>
      </w:r>
    </w:p>
    <w:p>
      <w:pPr>
        <w:pStyle w:val="10"/>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a). a list of candidate PSCell to be evaluated for the subsequent CPC (i.e. used when the candidate PSCell becomes a serving PSCell);</w:t>
      </w:r>
    </w:p>
    <w:p>
      <w:pPr>
        <w:pStyle w:val="10"/>
        <w:tabs>
          <w:tab w:val="right" w:leader="dot" w:pos="9660"/>
        </w:tabs>
        <w:rPr>
          <w:i w:val="0"/>
          <w:iCs w:val="0"/>
        </w:rPr>
      </w:pPr>
      <w:r>
        <w:rPr>
          <w:rFonts w:hint="default" w:ascii="Arial" w:hAnsi="Arial" w:cs="Arial"/>
          <w:i w:val="0"/>
          <w:iCs w:val="0"/>
          <w:lang w:val="en-US" w:eastAsia="zh-CN"/>
        </w:rPr>
        <w:t xml:space="preserve">• </w:t>
      </w:r>
      <w:r>
        <w:rPr>
          <w:rFonts w:hint="eastAsia"/>
          <w:i w:val="0"/>
          <w:iCs w:val="0"/>
          <w:lang w:val="en-US" w:eastAsia="zh-CN"/>
        </w:rPr>
        <w:t>b). the execution condition(s) associated with each cell in a).</w:t>
      </w:r>
    </w:p>
    <w:p>
      <w:pPr>
        <w:pStyle w:val="8"/>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12: </w:t>
      </w:r>
      <w:r>
        <w:rPr>
          <w:rFonts w:hint="eastAsia"/>
          <w:i w:val="0"/>
          <w:iCs w:val="0"/>
          <w:lang w:val="en-US" w:eastAsia="zh-CN"/>
        </w:rPr>
        <w:t>For SN initiated inter-SN subsequent CPAC, the source SN indicates to the MN a list of candidate SNs and candidate PSCells for the initial and subsequent CPC, and execution conditions associated with each candidate PSCell only for the initial CPC, i.e. similar to the legacy procedure.</w:t>
      </w:r>
    </w:p>
    <w:p>
      <w:pPr>
        <w:spacing w:before="120" w:after="120"/>
        <w:jc w:val="both"/>
      </w:pPr>
      <w:r>
        <w:rPr>
          <w:bCs w:val="0"/>
          <w:i w:val="0"/>
          <w:iCs w:val="0"/>
        </w:rPr>
        <w:fldChar w:fldCharType="end"/>
      </w:r>
    </w:p>
    <w:p>
      <w:pPr>
        <w:pStyle w:val="2"/>
        <w:spacing w:before="120" w:after="120"/>
        <w:jc w:val="both"/>
        <w:rPr>
          <w:rFonts w:eastAsia="宋体"/>
        </w:rPr>
      </w:pPr>
      <w:r>
        <w:rPr>
          <w:rFonts w:hint="eastAsia" w:eastAsia="宋体"/>
        </w:rPr>
        <w:t>Reference</w:t>
      </w:r>
      <w:r>
        <w:rPr>
          <w:rFonts w:eastAsia="宋体"/>
        </w:rPr>
        <w:t>s</w:t>
      </w:r>
    </w:p>
    <w:p>
      <w:pPr>
        <w:pStyle w:val="21"/>
        <w:spacing w:before="120" w:after="120"/>
        <w:ind w:left="363" w:hanging="363"/>
        <w:jc w:val="both"/>
        <w:rPr>
          <w:szCs w:val="20"/>
        </w:rPr>
      </w:pPr>
      <w:bookmarkStart w:id="3" w:name="_Ref17466"/>
      <w:r>
        <w:rPr>
          <w:rFonts w:hint="eastAsia"/>
        </w:rPr>
        <w:t>R</w:t>
      </w:r>
      <w:r>
        <w:t>AN2#1</w:t>
      </w:r>
      <w:r>
        <w:rPr>
          <w:rFonts w:hint="eastAsia"/>
          <w:lang w:val="en-US" w:eastAsia="zh-CN"/>
        </w:rPr>
        <w:t>22</w:t>
      </w:r>
      <w:r>
        <w:t xml:space="preserve"> </w:t>
      </w:r>
      <w:r>
        <w:rPr>
          <w:rFonts w:hint="eastAsia"/>
        </w:rPr>
        <w:t>C</w:t>
      </w:r>
      <w:r>
        <w:t xml:space="preserve">hair </w:t>
      </w:r>
      <w:r>
        <w:rPr>
          <w:rFonts w:hint="eastAsia"/>
        </w:rPr>
        <w:t>N</w:t>
      </w:r>
      <w:r>
        <w:t>otes</w:t>
      </w:r>
    </w:p>
    <w:p>
      <w:pPr>
        <w:pStyle w:val="21"/>
        <w:spacing w:before="120" w:after="120"/>
        <w:ind w:left="363" w:hanging="363"/>
        <w:jc w:val="both"/>
        <w:rPr>
          <w:szCs w:val="20"/>
        </w:rPr>
      </w:pPr>
      <w:r>
        <w:rPr>
          <w:rFonts w:hint="eastAsia"/>
          <w:szCs w:val="20"/>
        </w:rPr>
        <w:t>R2-2307372</w:t>
      </w:r>
      <w:r>
        <w:rPr>
          <w:rFonts w:hint="eastAsia" w:eastAsia="宋体"/>
          <w:szCs w:val="20"/>
          <w:lang w:val="en-US" w:eastAsia="zh-CN"/>
        </w:rPr>
        <w:t xml:space="preserve">  37.340 running CR for introduction of NR further mobility enhancements  ZTE Corporation, Sanechips</w:t>
      </w:r>
    </w:p>
    <w:p>
      <w:pPr>
        <w:pStyle w:val="21"/>
        <w:spacing w:before="120" w:after="120"/>
        <w:ind w:left="363" w:hanging="363"/>
        <w:jc w:val="both"/>
        <w:rPr>
          <w:szCs w:val="20"/>
        </w:rPr>
      </w:pPr>
      <w:r>
        <w:rPr>
          <w:rFonts w:hint="eastAsia"/>
          <w:szCs w:val="20"/>
        </w:rPr>
        <w:t xml:space="preserve">R2-2307375 </w:t>
      </w:r>
      <w:r>
        <w:rPr>
          <w:rFonts w:hint="eastAsia" w:eastAsia="宋体"/>
          <w:szCs w:val="20"/>
          <w:lang w:val="en-US" w:eastAsia="zh-CN"/>
        </w:rPr>
        <w:t xml:space="preserve"> </w:t>
      </w:r>
      <w:r>
        <w:rPr>
          <w:rFonts w:hint="eastAsia"/>
          <w:szCs w:val="20"/>
        </w:rPr>
        <w:t>Remaining issues on subsequent CPAC</w:t>
      </w:r>
      <w:r>
        <w:rPr>
          <w:rFonts w:hint="eastAsia" w:eastAsia="宋体"/>
          <w:szCs w:val="20"/>
          <w:lang w:val="en-US" w:eastAsia="zh-CN"/>
        </w:rPr>
        <w:t xml:space="preserve">  ZTE Corporation, Sanechips</w:t>
      </w:r>
    </w:p>
    <w:p>
      <w:pPr>
        <w:pStyle w:val="21"/>
        <w:numPr>
          <w:ilvl w:val="0"/>
          <w:numId w:val="0"/>
        </w:numPr>
        <w:spacing w:before="120" w:after="120"/>
        <w:ind w:leftChars="0"/>
        <w:jc w:val="both"/>
        <w:rPr>
          <w:szCs w:val="20"/>
        </w:rPr>
      </w:pPr>
    </w:p>
    <w:bookmarkEnd w:id="3"/>
    <w:p>
      <w:pPr>
        <w:spacing w:before="120" w:after="120"/>
        <w:jc w:val="both"/>
      </w:pPr>
    </w:p>
    <w:p>
      <w:pPr>
        <w:spacing w:before="120" w:after="120"/>
        <w:jc w:val="both"/>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multilevel"/>
    <w:tmpl w:val="B15F0BA4"/>
    <w:lvl w:ilvl="0" w:tentative="0">
      <w:start w:val="1"/>
      <w:numFmt w:val="bullet"/>
      <w:pStyle w:val="19"/>
      <w:lvlText w:val="-"/>
      <w:lvlJc w:val="left"/>
      <w:pPr>
        <w:ind w:left="420" w:hanging="42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3A877D64"/>
    <w:multiLevelType w:val="singleLevel"/>
    <w:tmpl w:val="3A877D64"/>
    <w:lvl w:ilvl="0" w:tentative="0">
      <w:start w:val="1"/>
      <w:numFmt w:val="decimal"/>
      <w:pStyle w:val="21"/>
      <w:lvlText w:val="[%1]"/>
      <w:lvlJc w:val="left"/>
      <w:pPr>
        <w:tabs>
          <w:tab w:val="left" w:pos="360"/>
        </w:tabs>
        <w:ind w:left="360" w:hanging="360"/>
      </w:pPr>
    </w:lvl>
  </w:abstractNum>
  <w:abstractNum w:abstractNumId="2">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08BE803"/>
    <w:multiLevelType w:val="singleLevel"/>
    <w:tmpl w:val="508BE803"/>
    <w:lvl w:ilvl="0" w:tentative="0">
      <w:start w:val="1"/>
      <w:numFmt w:val="bullet"/>
      <w:pStyle w:val="20"/>
      <w:lvlText w:val="-"/>
      <w:lvlJc w:val="left"/>
      <w:pPr>
        <w:ind w:left="420" w:hanging="420"/>
      </w:pPr>
      <w:rPr>
        <w:rFonts w:hint="default" w:ascii="Arial" w:hAnsi="Arial" w:cs="Arial"/>
      </w:rPr>
    </w:lvl>
  </w:abstractNum>
  <w:abstractNum w:abstractNumId="4">
    <w:nsid w:val="5D763755"/>
    <w:multiLevelType w:val="multilevel"/>
    <w:tmpl w:val="5D763755"/>
    <w:lvl w:ilvl="0" w:tentative="0">
      <w:start w:val="1"/>
      <w:numFmt w:val="decimal"/>
      <w:pStyle w:val="16"/>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110F9F"/>
    <w:multiLevelType w:val="multilevel"/>
    <w:tmpl w:val="70110F9F"/>
    <w:lvl w:ilvl="0" w:tentative="0">
      <w:start w:val="1"/>
      <w:numFmt w:val="decimal"/>
      <w:pStyle w:val="1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6">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DC436CD"/>
    <w:multiLevelType w:val="singleLevel"/>
    <w:tmpl w:val="7DC436CD"/>
    <w:lvl w:ilvl="0" w:tentative="0">
      <w:start w:val="1"/>
      <w:numFmt w:val="bullet"/>
      <w:pStyle w:val="17"/>
      <w:lvlText w:val="•"/>
      <w:lvlJc w:val="left"/>
      <w:pPr>
        <w:tabs>
          <w:tab w:val="left" w:pos="420"/>
        </w:tabs>
        <w:ind w:left="420" w:hanging="378"/>
      </w:pPr>
      <w:rPr>
        <w:rFonts w:hint="default" w:ascii="Arial" w:hAnsi="Arial" w:cs="Arial"/>
      </w:rPr>
    </w:lvl>
  </w:abstractNum>
  <w:num w:numId="1">
    <w:abstractNumId w:val="2"/>
  </w:num>
  <w:num w:numId="2">
    <w:abstractNumId w:val="5"/>
  </w:num>
  <w:num w:numId="3">
    <w:abstractNumId w:val="4"/>
  </w:num>
  <w:num w:numId="4">
    <w:abstractNumId w:val="7"/>
  </w:num>
  <w:num w:numId="5">
    <w:abstractNumId w:val="0"/>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3F35936"/>
    <w:rsid w:val="043168B5"/>
    <w:rsid w:val="0555228E"/>
    <w:rsid w:val="05727AFD"/>
    <w:rsid w:val="059D1E39"/>
    <w:rsid w:val="05CD3A0B"/>
    <w:rsid w:val="05E078B3"/>
    <w:rsid w:val="077D0583"/>
    <w:rsid w:val="079724D0"/>
    <w:rsid w:val="082A352F"/>
    <w:rsid w:val="08C349D1"/>
    <w:rsid w:val="08FD1F99"/>
    <w:rsid w:val="09F67CD5"/>
    <w:rsid w:val="0AC167FE"/>
    <w:rsid w:val="0B584155"/>
    <w:rsid w:val="0B9E71DF"/>
    <w:rsid w:val="0C9D30C2"/>
    <w:rsid w:val="0D4D48B3"/>
    <w:rsid w:val="0D9D65F4"/>
    <w:rsid w:val="0E172BD0"/>
    <w:rsid w:val="0EDF02B5"/>
    <w:rsid w:val="0F366DF1"/>
    <w:rsid w:val="10650D72"/>
    <w:rsid w:val="10936355"/>
    <w:rsid w:val="10A50104"/>
    <w:rsid w:val="115B3410"/>
    <w:rsid w:val="116570CB"/>
    <w:rsid w:val="119D7849"/>
    <w:rsid w:val="1242135C"/>
    <w:rsid w:val="12BC0C10"/>
    <w:rsid w:val="13A1683F"/>
    <w:rsid w:val="14960C8D"/>
    <w:rsid w:val="14DA3DA1"/>
    <w:rsid w:val="17155857"/>
    <w:rsid w:val="17950508"/>
    <w:rsid w:val="17AD7BB9"/>
    <w:rsid w:val="19010C43"/>
    <w:rsid w:val="19084C73"/>
    <w:rsid w:val="1A054259"/>
    <w:rsid w:val="1A273CC1"/>
    <w:rsid w:val="1AA20BEC"/>
    <w:rsid w:val="1B7F6005"/>
    <w:rsid w:val="1B9D73EE"/>
    <w:rsid w:val="1C132CB9"/>
    <w:rsid w:val="1CCC26CA"/>
    <w:rsid w:val="1DB01F3B"/>
    <w:rsid w:val="1E056606"/>
    <w:rsid w:val="1E9D6342"/>
    <w:rsid w:val="1F4279FE"/>
    <w:rsid w:val="204E6676"/>
    <w:rsid w:val="2195668B"/>
    <w:rsid w:val="21BE5AD4"/>
    <w:rsid w:val="23081A49"/>
    <w:rsid w:val="2334383D"/>
    <w:rsid w:val="235166EB"/>
    <w:rsid w:val="23CE335E"/>
    <w:rsid w:val="23E5477D"/>
    <w:rsid w:val="245C52F8"/>
    <w:rsid w:val="245E7FA0"/>
    <w:rsid w:val="2463385E"/>
    <w:rsid w:val="24A83DD0"/>
    <w:rsid w:val="250D568B"/>
    <w:rsid w:val="25134332"/>
    <w:rsid w:val="25602723"/>
    <w:rsid w:val="257E508F"/>
    <w:rsid w:val="25D2255C"/>
    <w:rsid w:val="26BF5712"/>
    <w:rsid w:val="27AB7429"/>
    <w:rsid w:val="285C053E"/>
    <w:rsid w:val="29FA7F26"/>
    <w:rsid w:val="2A0F29F0"/>
    <w:rsid w:val="2B774832"/>
    <w:rsid w:val="2C3E7B79"/>
    <w:rsid w:val="2C946521"/>
    <w:rsid w:val="2CDE11E4"/>
    <w:rsid w:val="2E305203"/>
    <w:rsid w:val="2ECA0884"/>
    <w:rsid w:val="2F1251F2"/>
    <w:rsid w:val="2FBC7B6B"/>
    <w:rsid w:val="30962F3E"/>
    <w:rsid w:val="30D17E68"/>
    <w:rsid w:val="30FF2795"/>
    <w:rsid w:val="31467844"/>
    <w:rsid w:val="31987C8B"/>
    <w:rsid w:val="329A6ACE"/>
    <w:rsid w:val="33607071"/>
    <w:rsid w:val="339618AC"/>
    <w:rsid w:val="33A835D8"/>
    <w:rsid w:val="33E343BC"/>
    <w:rsid w:val="350B2B88"/>
    <w:rsid w:val="35181EED"/>
    <w:rsid w:val="35EB3B29"/>
    <w:rsid w:val="360B1D73"/>
    <w:rsid w:val="361F3323"/>
    <w:rsid w:val="36E93760"/>
    <w:rsid w:val="377E620D"/>
    <w:rsid w:val="3784394E"/>
    <w:rsid w:val="38AE3BB0"/>
    <w:rsid w:val="3A1835B2"/>
    <w:rsid w:val="3A5370DD"/>
    <w:rsid w:val="3AC71DA2"/>
    <w:rsid w:val="3ACB5746"/>
    <w:rsid w:val="3BB20883"/>
    <w:rsid w:val="3C020A09"/>
    <w:rsid w:val="3C935077"/>
    <w:rsid w:val="3CCC3EC3"/>
    <w:rsid w:val="3CD06756"/>
    <w:rsid w:val="3DA8275C"/>
    <w:rsid w:val="3E441C7D"/>
    <w:rsid w:val="3F9669D4"/>
    <w:rsid w:val="3FC956FF"/>
    <w:rsid w:val="40A36A71"/>
    <w:rsid w:val="410E4736"/>
    <w:rsid w:val="41D3631F"/>
    <w:rsid w:val="41F466FD"/>
    <w:rsid w:val="422B3F68"/>
    <w:rsid w:val="42A67A24"/>
    <w:rsid w:val="42D846B9"/>
    <w:rsid w:val="430D7A82"/>
    <w:rsid w:val="43A55B32"/>
    <w:rsid w:val="440D5045"/>
    <w:rsid w:val="44EF3138"/>
    <w:rsid w:val="44F3408E"/>
    <w:rsid w:val="45BE6191"/>
    <w:rsid w:val="460C5979"/>
    <w:rsid w:val="477C7F5D"/>
    <w:rsid w:val="47C01792"/>
    <w:rsid w:val="4808150F"/>
    <w:rsid w:val="4844674D"/>
    <w:rsid w:val="49E9233D"/>
    <w:rsid w:val="4A3610BC"/>
    <w:rsid w:val="4A42266B"/>
    <w:rsid w:val="4AAD1944"/>
    <w:rsid w:val="4AC31003"/>
    <w:rsid w:val="4AE93159"/>
    <w:rsid w:val="4BD0339A"/>
    <w:rsid w:val="4D462159"/>
    <w:rsid w:val="4D5C5FAC"/>
    <w:rsid w:val="4DB66A19"/>
    <w:rsid w:val="4DC605B6"/>
    <w:rsid w:val="4DEC0985"/>
    <w:rsid w:val="4DF5606D"/>
    <w:rsid w:val="4E27683A"/>
    <w:rsid w:val="4E4F480F"/>
    <w:rsid w:val="4F2765B1"/>
    <w:rsid w:val="4F285975"/>
    <w:rsid w:val="4F7E60C6"/>
    <w:rsid w:val="502C5617"/>
    <w:rsid w:val="51796EDE"/>
    <w:rsid w:val="51867298"/>
    <w:rsid w:val="51AC0F10"/>
    <w:rsid w:val="52195EDF"/>
    <w:rsid w:val="52313387"/>
    <w:rsid w:val="529F0593"/>
    <w:rsid w:val="52E04D27"/>
    <w:rsid w:val="535D521D"/>
    <w:rsid w:val="539A390F"/>
    <w:rsid w:val="53C6197D"/>
    <w:rsid w:val="53CF14EE"/>
    <w:rsid w:val="53DB3477"/>
    <w:rsid w:val="54AF6B42"/>
    <w:rsid w:val="5500035A"/>
    <w:rsid w:val="55DD6F2A"/>
    <w:rsid w:val="56E23970"/>
    <w:rsid w:val="57155486"/>
    <w:rsid w:val="577A3C7D"/>
    <w:rsid w:val="578F220A"/>
    <w:rsid w:val="57FC07D9"/>
    <w:rsid w:val="58500F22"/>
    <w:rsid w:val="591C0009"/>
    <w:rsid w:val="598811FD"/>
    <w:rsid w:val="5ACF0F3A"/>
    <w:rsid w:val="5C6B1600"/>
    <w:rsid w:val="5C921AD0"/>
    <w:rsid w:val="5DFD51DB"/>
    <w:rsid w:val="5E0D36E5"/>
    <w:rsid w:val="5E7F7360"/>
    <w:rsid w:val="5EB903DA"/>
    <w:rsid w:val="5F2D7313"/>
    <w:rsid w:val="5FF53D41"/>
    <w:rsid w:val="60140907"/>
    <w:rsid w:val="605F2577"/>
    <w:rsid w:val="607C3753"/>
    <w:rsid w:val="60C30855"/>
    <w:rsid w:val="61421EFD"/>
    <w:rsid w:val="615C5041"/>
    <w:rsid w:val="636F17AB"/>
    <w:rsid w:val="64934878"/>
    <w:rsid w:val="662979FE"/>
    <w:rsid w:val="664805B8"/>
    <w:rsid w:val="665216C9"/>
    <w:rsid w:val="67225898"/>
    <w:rsid w:val="67723DB4"/>
    <w:rsid w:val="68CB171E"/>
    <w:rsid w:val="690F418B"/>
    <w:rsid w:val="69FB7936"/>
    <w:rsid w:val="6A154B1E"/>
    <w:rsid w:val="6A7A2736"/>
    <w:rsid w:val="6A7B4B9C"/>
    <w:rsid w:val="6C89456C"/>
    <w:rsid w:val="6D663271"/>
    <w:rsid w:val="6EF2462D"/>
    <w:rsid w:val="6F901B66"/>
    <w:rsid w:val="6FA629D4"/>
    <w:rsid w:val="6FC05247"/>
    <w:rsid w:val="6FD10552"/>
    <w:rsid w:val="7094701E"/>
    <w:rsid w:val="70BB2EF0"/>
    <w:rsid w:val="70BE61B8"/>
    <w:rsid w:val="71015B3E"/>
    <w:rsid w:val="73414765"/>
    <w:rsid w:val="73455C21"/>
    <w:rsid w:val="73D425F7"/>
    <w:rsid w:val="750A2023"/>
    <w:rsid w:val="7676736A"/>
    <w:rsid w:val="76933951"/>
    <w:rsid w:val="76FA3873"/>
    <w:rsid w:val="771D661B"/>
    <w:rsid w:val="771F7714"/>
    <w:rsid w:val="77317864"/>
    <w:rsid w:val="777E145F"/>
    <w:rsid w:val="78782A0D"/>
    <w:rsid w:val="793A3181"/>
    <w:rsid w:val="796F5EE4"/>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link w:val="32"/>
    <w:unhideWhenUsed/>
    <w:qFormat/>
    <w:uiPriority w:val="39"/>
    <w:pPr>
      <w:ind w:left="880" w:leftChars="400"/>
    </w:pPr>
    <w:rPr>
      <w:b/>
      <w:i/>
    </w:rPr>
  </w:style>
  <w:style w:type="paragraph" w:styleId="6">
    <w:name w:val="footer"/>
    <w:link w:val="39"/>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7">
    <w:name w:val="header"/>
    <w:link w:val="23"/>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8">
    <w:name w:val="toc 1"/>
    <w:basedOn w:val="1"/>
    <w:next w:val="1"/>
    <w:link w:val="26"/>
    <w:unhideWhenUsed/>
    <w:qFormat/>
    <w:uiPriority w:val="39"/>
    <w:rPr>
      <w:b/>
      <w:i/>
    </w:rPr>
  </w:style>
  <w:style w:type="paragraph" w:styleId="9">
    <w:name w:val="table of figures"/>
    <w:basedOn w:val="1"/>
    <w:next w:val="1"/>
    <w:semiHidden/>
    <w:unhideWhenUsed/>
    <w:qFormat/>
    <w:uiPriority w:val="99"/>
    <w:pPr>
      <w:ind w:left="200" w:leftChars="200" w:hanging="200" w:hangingChars="200"/>
    </w:pPr>
  </w:style>
  <w:style w:type="paragraph" w:styleId="10">
    <w:name w:val="toc 2"/>
    <w:basedOn w:val="1"/>
    <w:next w:val="1"/>
    <w:link w:val="29"/>
    <w:unhideWhenUsed/>
    <w:qFormat/>
    <w:uiPriority w:val="39"/>
    <w:pPr>
      <w:snapToGrid w:val="0"/>
      <w:ind w:left="618" w:leftChars="200"/>
    </w:pPr>
    <w:rPr>
      <w:b/>
      <w:i/>
    </w:rPr>
  </w:style>
  <w:style w:type="table" w:styleId="12">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5">
    <w:name w:val="!ZTE-Observation-2021"/>
    <w:basedOn w:val="1"/>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16">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17">
    <w:name w:val="sub-proposal"/>
    <w:basedOn w:val="1"/>
    <w:qFormat/>
    <w:uiPriority w:val="0"/>
    <w:pPr>
      <w:numPr>
        <w:ilvl w:val="0"/>
        <w:numId w:val="4"/>
      </w:numPr>
      <w:tabs>
        <w:tab w:val="left" w:pos="0"/>
        <w:tab w:val="left" w:pos="567"/>
        <w:tab w:val="left" w:pos="993"/>
      </w:tabs>
      <w:spacing w:before="50" w:after="50"/>
      <w:ind w:left="989" w:leftChars="354" w:hanging="281" w:hangingChars="140"/>
      <w:jc w:val="left"/>
    </w:pPr>
    <w:rPr>
      <w:rFonts w:ascii="Times New Roman" w:hAnsi="Times New Roman" w:eastAsiaTheme="minorEastAsia"/>
      <w:b/>
      <w:bCs/>
      <w:iCs/>
    </w:rPr>
  </w:style>
  <w:style w:type="paragraph" w:customStyle="1" w:styleId="18">
    <w:name w:val="sub-observation"/>
    <w:basedOn w:val="17"/>
    <w:qFormat/>
    <w:uiPriority w:val="0"/>
  </w:style>
  <w:style w:type="paragraph" w:customStyle="1" w:styleId="19">
    <w:name w:val="3rd level proposal"/>
    <w:basedOn w:val="17"/>
    <w:qFormat/>
    <w:uiPriority w:val="0"/>
    <w:pPr>
      <w:numPr>
        <w:ilvl w:val="0"/>
        <w:numId w:val="5"/>
      </w:numPr>
      <w:ind w:left="1199" w:leftChars="496" w:hanging="207" w:hangingChars="103"/>
    </w:pPr>
  </w:style>
  <w:style w:type="paragraph" w:customStyle="1" w:styleId="20">
    <w:name w:val="3rd level observation"/>
    <w:basedOn w:val="18"/>
    <w:qFormat/>
    <w:uiPriority w:val="0"/>
    <w:pPr>
      <w:numPr>
        <w:ilvl w:val="0"/>
        <w:numId w:val="6"/>
      </w:numPr>
      <w:tabs>
        <w:tab w:val="left" w:pos="1134"/>
        <w:tab w:val="clear" w:pos="993"/>
      </w:tabs>
      <w:ind w:left="1131" w:leftChars="496" w:hanging="139" w:hangingChars="69"/>
    </w:pPr>
  </w:style>
  <w:style w:type="paragraph" w:customStyle="1" w:styleId="21">
    <w:name w:val="References"/>
    <w:basedOn w:val="1"/>
    <w:qFormat/>
    <w:uiPriority w:val="0"/>
    <w:pPr>
      <w:numPr>
        <w:ilvl w:val="0"/>
        <w:numId w:val="7"/>
      </w:numPr>
      <w:spacing w:after="60"/>
    </w:pPr>
    <w:rPr>
      <w:szCs w:val="16"/>
    </w:rPr>
  </w:style>
  <w:style w:type="paragraph" w:styleId="22">
    <w:name w:val="List Paragraph"/>
    <w:basedOn w:val="1"/>
    <w:qFormat/>
    <w:uiPriority w:val="34"/>
    <w:pPr>
      <w:spacing w:beforeLines="0"/>
      <w:ind w:left="720"/>
      <w:contextualSpacing/>
    </w:pPr>
    <w:rPr>
      <w:sz w:val="24"/>
      <w:szCs w:val="24"/>
    </w:rPr>
  </w:style>
  <w:style w:type="character" w:customStyle="1" w:styleId="23">
    <w:name w:val="页眉 字符"/>
    <w:basedOn w:val="13"/>
    <w:link w:val="7"/>
    <w:qFormat/>
    <w:uiPriority w:val="99"/>
    <w:rPr>
      <w:rFonts w:eastAsia="Times New Roman"/>
      <w:kern w:val="2"/>
      <w:sz w:val="18"/>
      <w:szCs w:val="18"/>
    </w:rPr>
  </w:style>
  <w:style w:type="paragraph" w:customStyle="1" w:styleId="24">
    <w:name w:val="ZTE-C-proposal"/>
    <w:basedOn w:val="8"/>
    <w:link w:val="27"/>
    <w:qFormat/>
    <w:uiPriority w:val="0"/>
    <w:pPr>
      <w:spacing w:before="120" w:after="120"/>
      <w:ind w:left="1104" w:hanging="1104" w:hangingChars="550"/>
    </w:pPr>
  </w:style>
  <w:style w:type="paragraph" w:customStyle="1" w:styleId="25">
    <w:name w:val="ZTE-C-subProposal"/>
    <w:basedOn w:val="10"/>
    <w:link w:val="30"/>
    <w:qFormat/>
    <w:uiPriority w:val="0"/>
    <w:pPr>
      <w:tabs>
        <w:tab w:val="left" w:pos="993"/>
        <w:tab w:val="right" w:leader="dot" w:pos="9650"/>
      </w:tabs>
      <w:spacing w:before="120" w:after="120"/>
      <w:ind w:left="708" w:leftChars="354"/>
    </w:pPr>
  </w:style>
  <w:style w:type="character" w:customStyle="1" w:styleId="26">
    <w:name w:val="TOC 1 字符"/>
    <w:basedOn w:val="13"/>
    <w:link w:val="8"/>
    <w:qFormat/>
    <w:uiPriority w:val="39"/>
    <w:rPr>
      <w:rFonts w:eastAsia="Times New Roman"/>
      <w:b/>
      <w:i/>
      <w:kern w:val="2"/>
    </w:rPr>
  </w:style>
  <w:style w:type="character" w:customStyle="1" w:styleId="27">
    <w:name w:val="ZTE-C-proposal 字符"/>
    <w:basedOn w:val="26"/>
    <w:link w:val="24"/>
    <w:qFormat/>
    <w:uiPriority w:val="0"/>
    <w:rPr>
      <w:rFonts w:eastAsia="Times New Roman"/>
      <w:color w:val="000000"/>
      <w:kern w:val="2"/>
    </w:rPr>
  </w:style>
  <w:style w:type="paragraph" w:customStyle="1" w:styleId="28">
    <w:name w:val="ZTE-C-3rd level proposal"/>
    <w:basedOn w:val="5"/>
    <w:link w:val="33"/>
    <w:qFormat/>
    <w:uiPriority w:val="0"/>
    <w:pPr>
      <w:tabs>
        <w:tab w:val="left" w:pos="1276"/>
        <w:tab w:val="right" w:leader="dot" w:pos="9650"/>
      </w:tabs>
      <w:spacing w:before="120" w:after="120"/>
      <w:ind w:left="1134" w:leftChars="567"/>
    </w:pPr>
  </w:style>
  <w:style w:type="character" w:customStyle="1" w:styleId="29">
    <w:name w:val="TOC 2 字符"/>
    <w:basedOn w:val="13"/>
    <w:link w:val="10"/>
    <w:qFormat/>
    <w:uiPriority w:val="39"/>
    <w:rPr>
      <w:rFonts w:eastAsia="Times New Roman"/>
      <w:b/>
      <w:i/>
      <w:kern w:val="2"/>
    </w:rPr>
  </w:style>
  <w:style w:type="character" w:customStyle="1" w:styleId="30">
    <w:name w:val="ZTE-C-subProposal 字符"/>
    <w:basedOn w:val="29"/>
    <w:link w:val="25"/>
    <w:qFormat/>
    <w:uiPriority w:val="0"/>
    <w:rPr>
      <w:rFonts w:eastAsia="Times New Roman"/>
      <w:kern w:val="2"/>
    </w:rPr>
  </w:style>
  <w:style w:type="paragraph" w:customStyle="1" w:styleId="31">
    <w:name w:val="ZTE-C-Observation"/>
    <w:basedOn w:val="8"/>
    <w:link w:val="35"/>
    <w:qFormat/>
    <w:uiPriority w:val="0"/>
    <w:pPr>
      <w:tabs>
        <w:tab w:val="left" w:pos="1470"/>
        <w:tab w:val="right" w:pos="9650"/>
      </w:tabs>
      <w:spacing w:before="120" w:after="120"/>
      <w:ind w:left="1273" w:hanging="1273" w:hangingChars="634"/>
    </w:pPr>
  </w:style>
  <w:style w:type="character" w:customStyle="1" w:styleId="32">
    <w:name w:val="TOC 3 字符"/>
    <w:basedOn w:val="13"/>
    <w:link w:val="5"/>
    <w:qFormat/>
    <w:uiPriority w:val="39"/>
    <w:rPr>
      <w:rFonts w:eastAsia="Times New Roman"/>
      <w:b/>
      <w:i/>
      <w:kern w:val="2"/>
    </w:rPr>
  </w:style>
  <w:style w:type="character" w:customStyle="1" w:styleId="33">
    <w:name w:val="ZTE-C-3rd level proposal 字符"/>
    <w:basedOn w:val="32"/>
    <w:link w:val="28"/>
    <w:qFormat/>
    <w:uiPriority w:val="0"/>
    <w:rPr>
      <w:rFonts w:eastAsia="Times New Roman"/>
      <w:kern w:val="2"/>
    </w:rPr>
  </w:style>
  <w:style w:type="paragraph" w:customStyle="1" w:styleId="34">
    <w:name w:val="ZTE-C-sub-Observation"/>
    <w:basedOn w:val="10"/>
    <w:link w:val="37"/>
    <w:qFormat/>
    <w:uiPriority w:val="0"/>
    <w:pPr>
      <w:tabs>
        <w:tab w:val="left" w:pos="993"/>
        <w:tab w:val="right" w:pos="9650"/>
      </w:tabs>
      <w:spacing w:before="120" w:after="120"/>
      <w:ind w:left="850" w:leftChars="425"/>
    </w:pPr>
  </w:style>
  <w:style w:type="character" w:customStyle="1" w:styleId="35">
    <w:name w:val="ZTE-C-Observation 字符"/>
    <w:basedOn w:val="26"/>
    <w:link w:val="31"/>
    <w:qFormat/>
    <w:uiPriority w:val="0"/>
    <w:rPr>
      <w:rFonts w:eastAsia="Times New Roman"/>
      <w:kern w:val="2"/>
    </w:rPr>
  </w:style>
  <w:style w:type="paragraph" w:customStyle="1" w:styleId="36">
    <w:name w:val="ZTE-C-3rd level Observation"/>
    <w:basedOn w:val="5"/>
    <w:link w:val="38"/>
    <w:qFormat/>
    <w:uiPriority w:val="0"/>
    <w:pPr>
      <w:tabs>
        <w:tab w:val="left" w:pos="1260"/>
        <w:tab w:val="right" w:pos="9650"/>
      </w:tabs>
      <w:spacing w:before="120" w:after="120"/>
      <w:ind w:left="1134" w:leftChars="567"/>
    </w:pPr>
  </w:style>
  <w:style w:type="character" w:customStyle="1" w:styleId="37">
    <w:name w:val="ZTE-C-sub-Observation 字符"/>
    <w:basedOn w:val="29"/>
    <w:link w:val="34"/>
    <w:qFormat/>
    <w:uiPriority w:val="0"/>
    <w:rPr>
      <w:rFonts w:eastAsia="Times New Roman"/>
      <w:kern w:val="2"/>
    </w:rPr>
  </w:style>
  <w:style w:type="character" w:customStyle="1" w:styleId="38">
    <w:name w:val="ZTE-C-3rd level Observation 字符"/>
    <w:basedOn w:val="32"/>
    <w:link w:val="36"/>
    <w:qFormat/>
    <w:uiPriority w:val="0"/>
    <w:rPr>
      <w:rFonts w:eastAsia="Times New Roman"/>
      <w:kern w:val="2"/>
    </w:rPr>
  </w:style>
  <w:style w:type="character" w:customStyle="1" w:styleId="39">
    <w:name w:val="页脚 字符"/>
    <w:basedOn w:val="13"/>
    <w:link w:val="6"/>
    <w:qFormat/>
    <w:uiPriority w:val="99"/>
    <w:rPr>
      <w:rFonts w:eastAsia="Times New Roman"/>
      <w:kern w:val="2"/>
      <w:sz w:val="18"/>
      <w:szCs w:val="18"/>
    </w:rPr>
  </w:style>
  <w:style w:type="paragraph" w:customStyle="1" w:styleId="40">
    <w:name w:val="Agreement"/>
    <w:basedOn w:val="1"/>
    <w:next w:val="41"/>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41">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42">
    <w:name w:val="Editor's Note"/>
    <w:basedOn w:val="43"/>
    <w:qFormat/>
    <w:uiPriority w:val="0"/>
    <w:rPr>
      <w:i/>
    </w:rPr>
  </w:style>
  <w:style w:type="paragraph" w:customStyle="1" w:styleId="43">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5</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ZTE-Mengjie</cp:lastModifiedBy>
  <dcterms:modified xsi:type="dcterms:W3CDTF">2023-08-11T08:18:26Z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